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right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Информация 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потенциальных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лучших региональных практиках, </w:t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внедренных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 Мурманской области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по итогам отчетного года</w:t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ПРАКТИКА № 1 </w:t>
      </w:r>
      <w:r>
        <w:rPr>
          <w:rFonts w:ascii="Times New Roman" w:hAnsi="Times New Roman" w:cs="Times New Roman"/>
          <w:sz w:val="24"/>
          <w:szCs w:val="24"/>
        </w:rPr>
        <w:t xml:space="preserve">Академия грантов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(Предст</w:t>
      </w:r>
      <w:r>
        <w:rPr>
          <w:rFonts w:ascii="Times New Roman" w:hAnsi="Times New Roman"/>
          <w:bCs/>
          <w:i w:val="0"/>
          <w:iCs w:val="0"/>
          <w:color w:val="000000"/>
          <w:sz w:val="24"/>
          <w:szCs w:val="24"/>
        </w:rPr>
        <w:t xml:space="preserve">ав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ле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на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муниципальным образованием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город Мончегорск с подведомственной территорией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)</w:t>
      </w:r>
      <w:r/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02"/>
        <w:tblW w:w="0" w:type="auto"/>
        <w:tblLook w:val="04A0" w:firstRow="1" w:lastRow="0" w:firstColumn="1" w:lastColumn="0" w:noHBand="0" w:noVBand="1"/>
      </w:tblPr>
      <w:tblGrid>
        <w:gridCol w:w="3209"/>
        <w:gridCol w:w="11351"/>
      </w:tblGrid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лучшей практики по содействию развитию конкуренции в Мурманской области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Академия грантов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Краткое описание успешной практики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одовая программа для предпринимателей Мончегорска, которая дает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открыть новый или масштабировать уже существующий бизнес. Агентство развития Мончегорска помогает пройти путь от идеи до подачи заявки на региональные конкурсы и предлагает индивидуальное сопровождение опытной командой наставников и экспертов.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Ресурсы, привлеченные для ее реализации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Агентством развития Мончегорска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поддержке компании «Норникель» и Администрации города Мончегорска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результата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проекты Академии грантов в индивидуальном порядке сопровождают эксперты ведущих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бизнес-отраслей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 программе проводятся очные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обучающее мероприятие,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цели проекта,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работа по подбору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количественного (качественного) показателя результата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8 предпринимателей из Мончегорска, прошедшие программу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«Академии грантов»,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стали победителями конкурса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«Губернаторский старт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Общая сумма грантов более 14 млн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ПРАКТИКА № 2 </w:t>
      </w:r>
      <w:r>
        <w:rPr>
          <w:rFonts w:ascii="Times New Roman" w:hAnsi="Times New Roman"/>
          <w:b/>
          <w:sz w:val="24"/>
        </w:rPr>
        <w:t xml:space="preserve">«Эффективно используем экономический потенциал муниципалитета»</w:t>
      </w:r>
      <w:r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(Предст</w:t>
      </w:r>
      <w:r>
        <w:rPr>
          <w:rFonts w:ascii="Times New Roman" w:hAnsi="Times New Roman"/>
          <w:bCs/>
          <w:i w:val="0"/>
          <w:iCs w:val="0"/>
          <w:color w:val="000000"/>
          <w:sz w:val="24"/>
          <w:szCs w:val="24"/>
        </w:rPr>
        <w:t xml:space="preserve">ав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ле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на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муниципальным образованием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ЗАТО г. Североморск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02"/>
        <w:tblW w:w="0" w:type="auto"/>
        <w:tblLook w:val="04A0" w:firstRow="1" w:lastRow="0" w:firstColumn="1" w:lastColumn="0" w:noHBand="0" w:noVBand="1"/>
      </w:tblPr>
      <w:tblGrid>
        <w:gridCol w:w="3209"/>
        <w:gridCol w:w="11351"/>
      </w:tblGrid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лучшей практики по содействию развитию конкуренции в Мурманской области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</w:rPr>
              <w:t xml:space="preserve">«Эффективно используем экономический потенциал муниципалитета»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Краткое описание успешной практики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</w:rPr>
              <w:t xml:space="preserve">Комплексное сопровождение инвестиционным уполномоченным инвесторов позволило оперативно решить ряд вопросов, связанных с реализацией инвестиционных проектов в муниципальном </w:t>
            </w:r>
            <w:r>
              <w:rPr>
                <w:rFonts w:ascii="Times New Roman" w:hAnsi="Times New Roman"/>
                <w:sz w:val="24"/>
              </w:rPr>
              <w:t xml:space="preserve">образовании</w:t>
            </w:r>
            <w:r>
              <w:rPr>
                <w:rFonts w:ascii="Times New Roman" w:hAnsi="Times New Roman"/>
                <w:sz w:val="24"/>
              </w:rPr>
              <w:t xml:space="preserve"> ЗАТО г. Североморск, и запустить новые </w:t>
            </w:r>
            <w:r>
              <w:rPr>
                <w:rFonts w:ascii="Times New Roman" w:hAnsi="Times New Roman"/>
                <w:sz w:val="24"/>
              </w:rPr>
              <w:t xml:space="preserve">инвестпроекты</w:t>
            </w:r>
            <w:r>
              <w:rPr>
                <w:rFonts w:ascii="Times New Roman" w:hAnsi="Times New Roman"/>
                <w:sz w:val="24"/>
              </w:rPr>
              <w:t xml:space="preserve"> в ЗАТО г. Североморск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Ресурсы, привлеченные для ее реализации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Для реализации лучшей практики потребовались следующие ресурсы: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numPr>
                <w:ilvl w:val="0"/>
                <w:numId w:val="3"/>
              </w:numPr>
              <w:contextualSpacing/>
              <w:jc w:val="both"/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Информационные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  <w:p>
            <w:pPr>
              <w:contextualSpacing/>
              <w:ind w:left="36"/>
              <w:jc w:val="both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Официальный сайт муниципального образования + газета «Североморские вести»: печатное издание, сайт газеты, группа газеты в социальной сети ВКонтакте + радио «Север FM» + североморский телевизионный канал. 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numPr>
                <w:ilvl w:val="0"/>
                <w:numId w:val="3"/>
              </w:numPr>
              <w:contextualSpacing/>
              <w:jc w:val="both"/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Организационные 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  <w:p>
            <w:pPr>
              <w:contextualSpacing/>
              <w:ind w:left="36"/>
              <w:jc w:val="both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Проектом охвачены потенциальные инвесторы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результата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Результатом эффективной работы инвестиционного уполномоченного стал прогрессивный рост числа инвесторов, готовых «вложиться» в развитие экономики муниципалитета, и в условиях действующих ограничений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 право ведения хозяйственной и предпринимательской деятельности, владения, пользования и распоряжения природными ресурсами, недвижимым имуществом, налагаемых </w:t>
            </w:r>
            <w:r>
              <w:rPr>
                <w:rFonts w:ascii="Times New Roman" w:hAnsi="Times New Roman"/>
                <w:sz w:val="24"/>
              </w:rPr>
              <w:t xml:space="preserve">статусом</w:t>
            </w:r>
            <w:r>
              <w:rPr>
                <w:rFonts w:ascii="Times New Roman" w:hAnsi="Times New Roman"/>
                <w:sz w:val="24"/>
              </w:rPr>
              <w:t xml:space="preserve"> ЗАТО, успешно реализован индивидуальным предпринимателем, резидентом АЗРФ, инвестиционный проект.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количественного (качественного) показателя результата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ind w:left="0" w:firstLine="0"/>
              <w:jc w:val="both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Реализован проект по строительству гаражных боксов большой вместимости и повышенной комфортности с целью дальнейшей сдачи в аренду жителям города на предоставленном земельном участке в г. Североморске в районе улицы Флотских Строителей.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numPr>
                <w:ilvl w:val="0"/>
                <w:numId w:val="4"/>
              </w:numPr>
              <w:ind w:left="0" w:firstLine="0"/>
              <w:jc w:val="both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Подготовлены к реализации и находятся на стадии заключения соглашения с ООО КРДВ о получении статуса резидента АЗРФ следующие инвестиционные проекты: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строительство гаражного комплекса закрытого типа со стоянкой и эстакадой в районе ул. Инженерная в г. Североморске (ООО «</w:t>
            </w:r>
            <w:r>
              <w:rPr>
                <w:rFonts w:ascii="Times New Roman" w:hAnsi="Times New Roman"/>
                <w:sz w:val="24"/>
              </w:rPr>
              <w:t xml:space="preserve">СевСтрой</w:t>
            </w:r>
            <w:r>
              <w:rPr>
                <w:rFonts w:ascii="Times New Roman" w:hAnsi="Times New Roman"/>
                <w:sz w:val="24"/>
              </w:rPr>
              <w:t xml:space="preserve">),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numPr>
                <w:ilvl w:val="0"/>
                <w:numId w:val="5"/>
              </w:numPr>
              <w:ind w:left="0" w:firstLine="0"/>
              <w:jc w:val="both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строительство открытого склада хранения (ООО «</w:t>
            </w:r>
            <w:r>
              <w:rPr>
                <w:rFonts w:ascii="Times New Roman" w:hAnsi="Times New Roman"/>
                <w:sz w:val="24"/>
              </w:rPr>
              <w:t xml:space="preserve">СеверСервис</w:t>
            </w:r>
            <w:r>
              <w:rPr>
                <w:rFonts w:ascii="Times New Roman" w:hAnsi="Times New Roman"/>
                <w:sz w:val="24"/>
              </w:rPr>
              <w:t xml:space="preserve">»),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numPr>
                <w:ilvl w:val="0"/>
                <w:numId w:val="5"/>
              </w:numPr>
              <w:ind w:left="0" w:firstLine="0"/>
              <w:jc w:val="both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обустройство территории загородного парка (ИП),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numPr>
                <w:ilvl w:val="0"/>
                <w:numId w:val="5"/>
              </w:numPr>
              <w:ind w:left="0" w:firstLine="0"/>
              <w:jc w:val="both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строительство </w:t>
            </w:r>
            <w:r>
              <w:rPr>
                <w:rFonts w:ascii="Times New Roman" w:hAnsi="Times New Roman"/>
                <w:sz w:val="24"/>
              </w:rPr>
              <w:t xml:space="preserve">автомоечного</w:t>
            </w:r>
            <w:r>
              <w:rPr>
                <w:rFonts w:ascii="Times New Roman" w:hAnsi="Times New Roman"/>
                <w:sz w:val="24"/>
              </w:rPr>
              <w:t xml:space="preserve"> комплекса в районе ул. Восточной в г. Североморске (ИП)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numPr>
                <w:ilvl w:val="0"/>
                <w:numId w:val="5"/>
              </w:numPr>
              <w:ind w:left="0" w:firstLine="0"/>
              <w:jc w:val="both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строительство индивидуальных домов для отдыха в районе улицы Матросской в г. Североморске (ИП)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Решены вопросы, возникшие у резидента АЗРФ ООО «Феникс Норд» при реализации инвестиционного проекта «Строительство торгового центра в г. Североморске». Проблемой являлось отсутствие согласования ресурсоснаб</w:t>
            </w:r>
            <w:r>
              <w:rPr>
                <w:rFonts w:ascii="Times New Roman" w:hAnsi="Times New Roman"/>
                <w:sz w:val="24"/>
              </w:rPr>
              <w:t xml:space="preserve">жающей организацией проекта строительства, так как на земельном участке, предоставленном для строительства, проходит водовод и будущий торговый центр входил в охранную зону водовода. При непосредственном участии инвестиционного уполномоченного совместно с </w:t>
            </w:r>
            <w:r>
              <w:rPr>
                <w:rFonts w:ascii="Times New Roman" w:hAnsi="Times New Roman"/>
                <w:sz w:val="24"/>
              </w:rPr>
              <w:t xml:space="preserve">ресурсоснабжающей  организацией</w:t>
            </w:r>
            <w:r>
              <w:rPr>
                <w:rFonts w:ascii="Times New Roman" w:hAnsi="Times New Roman"/>
                <w:sz w:val="24"/>
              </w:rPr>
              <w:t xml:space="preserve"> было принято решение об изменении пятна застройки на предоставленном земельном участке. Планируется начало строительства в первом полугодии 2025 года.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В 2024 году инвестиционный уполномоченный неоднократно признавался лучшим инвестиционным уполномоченным по Мурманской области </w:t>
            </w:r>
            <w:r>
              <w:rPr>
                <w:rFonts w:ascii="Times New Roman" w:hAnsi="Times New Roman"/>
                <w:sz w:val="24"/>
              </w:rPr>
              <w:t xml:space="preserve">среди</w:t>
            </w:r>
            <w:r>
              <w:rPr>
                <w:rFonts w:ascii="Times New Roman" w:hAnsi="Times New Roman"/>
                <w:sz w:val="24"/>
              </w:rPr>
              <w:t xml:space="preserve"> ЗАТО был признан администрации ЗАТО г. Североморск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 С целью повышения инвестиционной привлекательности муниципального образования разработан и размещен на официальном сайте </w:t>
            </w:r>
            <w:r>
              <w:rPr>
                <w:rFonts w:ascii="Times New Roman" w:hAnsi="Times New Roman"/>
                <w:sz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</w:rPr>
              <w:t xml:space="preserve"> ЗАТО г. Североморск инвестиционный профиль муниципального образования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color w:val="000000"/>
          <w:sz w:val="24"/>
          <w:szCs w:val="24"/>
          <w14:ligatures w14:val="none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ПРАКТИКА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№ 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«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Предоставление субсидий для возмещения части затрат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самозанятым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гражданам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 городе Мурманске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»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(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Представлена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комитетом по экономическому развитию администрации города Мурманска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)</w:t>
      </w:r>
      <w:r>
        <w:rPr>
          <w:rFonts w:ascii="Times New Roman" w:hAnsi="Times New Roman"/>
          <w:i/>
          <w:iCs/>
          <w:color w:val="000000"/>
          <w:sz w:val="24"/>
          <w:szCs w:val="24"/>
        </w:rPr>
      </w:r>
      <w:r>
        <w:rPr>
          <w:rFonts w:ascii="Times New Roman" w:hAnsi="Times New Roman"/>
          <w:i/>
          <w:iCs/>
          <w:color w:val="000000"/>
          <w:sz w:val="24"/>
          <w:szCs w:val="24"/>
        </w:rPr>
      </w:r>
    </w:p>
    <w:tbl>
      <w:tblPr>
        <w:tblStyle w:val="702"/>
        <w:tblW w:w="0" w:type="auto"/>
        <w:tblLook w:val="04A0" w:firstRow="1" w:lastRow="0" w:firstColumn="1" w:lastColumn="0" w:noHBand="0" w:noVBand="1"/>
      </w:tblPr>
      <w:tblGrid>
        <w:gridCol w:w="3209"/>
        <w:gridCol w:w="11351"/>
      </w:tblGrid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лучшей практики по содействию развитию конкуренции в Мурманской области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Предоставление субсидий для возмещения части затрат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самозанятым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гражданам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 городе Мурманске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Краткое описание успешной практики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pStyle w:val="70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Целью реализации данной практики является возмещение части затрат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самозанятым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гражданам, создание благоприятных условий для осуществления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самозанятыми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 в городе Мурманске.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на получение субсидии имеют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самозанятые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граждане – физические лица, применяющие специальный налоговый </w:t>
            </w:r>
            <w:hyperlink r:id="rId12" w:tooltip="https://login.consultant.ru/link/?req=doc&amp;base=LAW&amp;n=431984&amp;date=14.06.2023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режим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«Налог на профессиональный доход» в соответствии с Федеральным </w:t>
            </w:r>
            <w:hyperlink r:id="rId13" w:tooltip="https://login.consultant.ru/link/?req=doc&amp;base=LAW&amp;n=431984&amp;date=14.06.2023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27.11.2018 № 422-ФЗ «О проведении эксперимента по 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ановлению специального налогового режима «Налог на профессиональный доход» не менее трех месяцев, за исключением индивидуальных предпринимателей, зарегистрированные и осуществляющие свою деятельность на территории муниципального образования город Мурманск.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условиями отбора субсидированию подлежат затраты, понесенные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самозанятыми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 в текущем и предыдущем финансовых годах, при осуществлении предпринимательской деятельности: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основных средств, включая доставку, непосредственно связанное с профессиональной деятельностью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самозанятых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расходных материалов, необходимых для производства продукции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самозанятым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арендная плата за пользование нежилым помещением, необходимым для профессиональной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самозанятых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оплата участия в выставочно-ярмарочных мероприятиях на территории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самозанятых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производителей товаров собственного производства (за исключением оплаты транспортных затрат и услуг по проживанию),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оплату аренды выставочных площадей для экспозиции товаров;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оплату аренды оборудования выставочных стендов;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оплату доставки экспонатов (экспозиций) на выставку (ярмарку);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оплату регистрационного взноса за участие в выставке (ярмарке).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оплата паушального взноса по договору коммерческой концессии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франчайзинга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арендная плата за пользование легковым автомобилем, необходимым для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самозанятого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такси.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размер субсидии по каждому виду возмещаемых затрат составляет 80% от фактически произведенных и документально подтвержденных затрат, но не более 100 тысяч рублей на одного участника отбора.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Совокупный размер финансовой поддержки, предоставленной одному участнику отбора по видам субсидируемых затрат, не может превышать 200 тысяч рублей в год.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Ресурсы, привлеченные для ее реализации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реализуется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«Развитие и поддержка малого и среднего предпринимательства в городе Мурманске» муниципальной программы города Мурманска «Развитие конкурентоспособной экономики» на 2023-2028 годы, утвержденной постановлением администрации города Мурманска от 14.11.2022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3522.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муниципального бюджета для реализации практики в 2024 году составил 1 000 000,0 рублей.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результата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проведенного в 2024 году отбора субсидии предоставлены 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самозанятым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 на общую сумму 1 000 000,0 рублей за счет средств муниципального бюджета.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32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количественного (качественного) показателя результата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предоставлены победителям отбора для возмещения части затрат, понесенных ими в 2023-2024 годах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приобретение расходных материалов, необходимых для производства продукции, приобретение основных средств, включая доставку, непосредственно связанное с профессиональной деятельностью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самозанятых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 арендной плате за пользование нежилым помещением, необходимым для профессиональной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самозанятых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</w:t>
      </w:r>
      <w:r>
        <w:rPr>
          <w:rFonts w:ascii="Times New Roman" w:hAnsi="Times New Roman"/>
          <w:sz w:val="24"/>
          <w:szCs w:val="24"/>
        </w:rPr>
      </w:r>
    </w:p>
    <w:sectPr>
      <w:headerReference w:type="default" r:id="rId9"/>
      <w:headerReference w:type="first" r:id="rId10"/>
      <w:footnotePr/>
      <w:endnotePr/>
      <w:type w:val="nextPage"/>
      <w:pgSz w:w="16838" w:h="11906" w:orient="landscape"/>
      <w:pgMar w:top="709" w:right="113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Calibri">
    <w:panose1 w:val="020F0502020204030204"/>
  </w:font>
  <w:font w:name="TTE1B82F50t00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67084753"/>
      <w:docPartObj>
        <w:docPartGallery w:val="Page Numbers (Top of Page)"/>
        <w:docPartUnique w:val="true"/>
      </w:docPartObj>
      <w:rPr/>
    </w:sdtPr>
    <w:sdtContent>
      <w:p>
        <w:pPr>
          <w:pStyle w:val="70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0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7"/>
      <w:jc w:val="center"/>
    </w:pPr>
    <w:r/>
    <w:r/>
  </w:p>
  <w:p>
    <w:pPr>
      <w:pStyle w:val="70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3" w:hanging="360"/>
      </w:pPr>
      <w:rPr>
        <w:rFonts w:hint="default" w:cs="Times New Roman"/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3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3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3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3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3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3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3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3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widowControl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widowControl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widowControl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widowControl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widowControl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widowControl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widowControl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widowControl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widowControl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5" w:hanging="360"/>
        <w:widowControl/>
      </w:pPr>
    </w:lvl>
    <w:lvl w:ilvl="1">
      <w:start w:val="1"/>
      <w:numFmt w:val="lowerLetter"/>
      <w:isLgl w:val="false"/>
      <w:suff w:val="tab"/>
      <w:lvlText w:val="%2."/>
      <w:lvlJc w:val="left"/>
      <w:pPr>
        <w:ind w:left="1505" w:hanging="360"/>
        <w:widowControl/>
      </w:pPr>
    </w:lvl>
    <w:lvl w:ilvl="2">
      <w:start w:val="1"/>
      <w:numFmt w:val="lowerRoman"/>
      <w:isLgl w:val="false"/>
      <w:suff w:val="tab"/>
      <w:lvlText w:val="%3."/>
      <w:lvlJc w:val="right"/>
      <w:pPr>
        <w:ind w:left="2225" w:hanging="180"/>
        <w:widowControl/>
      </w:pPr>
    </w:lvl>
    <w:lvl w:ilvl="3">
      <w:start w:val="1"/>
      <w:numFmt w:val="decimal"/>
      <w:isLgl w:val="false"/>
      <w:suff w:val="tab"/>
      <w:lvlText w:val="%4."/>
      <w:lvlJc w:val="left"/>
      <w:pPr>
        <w:ind w:left="2945" w:hanging="360"/>
        <w:widowControl/>
      </w:pPr>
    </w:lvl>
    <w:lvl w:ilvl="4">
      <w:start w:val="1"/>
      <w:numFmt w:val="lowerLetter"/>
      <w:isLgl w:val="false"/>
      <w:suff w:val="tab"/>
      <w:lvlText w:val="%5."/>
      <w:lvlJc w:val="left"/>
      <w:pPr>
        <w:ind w:left="3665" w:hanging="360"/>
        <w:widowControl/>
      </w:pPr>
    </w:lvl>
    <w:lvl w:ilvl="5">
      <w:start w:val="1"/>
      <w:numFmt w:val="lowerRoman"/>
      <w:isLgl w:val="false"/>
      <w:suff w:val="tab"/>
      <w:lvlText w:val="%6."/>
      <w:lvlJc w:val="right"/>
      <w:pPr>
        <w:ind w:left="4385" w:hanging="180"/>
        <w:widowControl/>
      </w:pPr>
    </w:lvl>
    <w:lvl w:ilvl="6">
      <w:start w:val="1"/>
      <w:numFmt w:val="decimal"/>
      <w:isLgl w:val="false"/>
      <w:suff w:val="tab"/>
      <w:lvlText w:val="%7."/>
      <w:lvlJc w:val="left"/>
      <w:pPr>
        <w:ind w:left="5105" w:hanging="360"/>
        <w:widowControl/>
      </w:pPr>
    </w:lvl>
    <w:lvl w:ilvl="7">
      <w:start w:val="1"/>
      <w:numFmt w:val="lowerLetter"/>
      <w:isLgl w:val="false"/>
      <w:suff w:val="tab"/>
      <w:lvlText w:val="%8."/>
      <w:lvlJc w:val="left"/>
      <w:pPr>
        <w:ind w:left="5825" w:hanging="360"/>
        <w:widowControl/>
      </w:pPr>
    </w:lvl>
    <w:lvl w:ilvl="8">
      <w:start w:val="1"/>
      <w:numFmt w:val="lowerRoman"/>
      <w:isLgl w:val="false"/>
      <w:suff w:val="tab"/>
      <w:lvlText w:val="%9."/>
      <w:lvlJc w:val="right"/>
      <w:pPr>
        <w:ind w:left="6545" w:hanging="180"/>
        <w:widowControl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widowControl/>
      </w:pPr>
      <w:rPr>
        <w:rFonts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widowControl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widowControl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widowControl/>
      </w:pPr>
      <w:rPr>
        <w:rFonts w:ascii="Calibri" w:hAnsi="Calibri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widowControl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widowControl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widowControl/>
      </w:pPr>
      <w:rPr>
        <w:rFonts w:ascii="Calibri" w:hAnsi="Calibri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widowControl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widowControl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widowControl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widowControl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widowControl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widowControl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widowControl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widowControl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widowControl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widowControl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widowControl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5" w:hanging="360"/>
        <w:widowControl/>
      </w:pPr>
    </w:lvl>
    <w:lvl w:ilvl="1">
      <w:start w:val="1"/>
      <w:numFmt w:val="lowerLetter"/>
      <w:isLgl w:val="false"/>
      <w:suff w:val="tab"/>
      <w:lvlText w:val="%2."/>
      <w:lvlJc w:val="left"/>
      <w:pPr>
        <w:ind w:left="1505" w:hanging="360"/>
        <w:widowControl/>
      </w:pPr>
    </w:lvl>
    <w:lvl w:ilvl="2">
      <w:start w:val="1"/>
      <w:numFmt w:val="lowerRoman"/>
      <w:isLgl w:val="false"/>
      <w:suff w:val="tab"/>
      <w:lvlText w:val="%3."/>
      <w:lvlJc w:val="right"/>
      <w:pPr>
        <w:ind w:left="2225" w:hanging="180"/>
        <w:widowControl/>
      </w:pPr>
    </w:lvl>
    <w:lvl w:ilvl="3">
      <w:start w:val="1"/>
      <w:numFmt w:val="decimal"/>
      <w:isLgl w:val="false"/>
      <w:suff w:val="tab"/>
      <w:lvlText w:val="%4."/>
      <w:lvlJc w:val="left"/>
      <w:pPr>
        <w:ind w:left="2945" w:hanging="360"/>
        <w:widowControl/>
      </w:pPr>
    </w:lvl>
    <w:lvl w:ilvl="4">
      <w:start w:val="1"/>
      <w:numFmt w:val="lowerLetter"/>
      <w:isLgl w:val="false"/>
      <w:suff w:val="tab"/>
      <w:lvlText w:val="%5."/>
      <w:lvlJc w:val="left"/>
      <w:pPr>
        <w:ind w:left="3665" w:hanging="360"/>
        <w:widowControl/>
      </w:pPr>
    </w:lvl>
    <w:lvl w:ilvl="5">
      <w:start w:val="1"/>
      <w:numFmt w:val="lowerRoman"/>
      <w:isLgl w:val="false"/>
      <w:suff w:val="tab"/>
      <w:lvlText w:val="%6."/>
      <w:lvlJc w:val="right"/>
      <w:pPr>
        <w:ind w:left="4385" w:hanging="180"/>
        <w:widowControl/>
      </w:pPr>
    </w:lvl>
    <w:lvl w:ilvl="6">
      <w:start w:val="1"/>
      <w:numFmt w:val="decimal"/>
      <w:isLgl w:val="false"/>
      <w:suff w:val="tab"/>
      <w:lvlText w:val="%7."/>
      <w:lvlJc w:val="left"/>
      <w:pPr>
        <w:ind w:left="5105" w:hanging="360"/>
        <w:widowControl/>
      </w:pPr>
    </w:lvl>
    <w:lvl w:ilvl="7">
      <w:start w:val="1"/>
      <w:numFmt w:val="lowerLetter"/>
      <w:isLgl w:val="false"/>
      <w:suff w:val="tab"/>
      <w:lvlText w:val="%8."/>
      <w:lvlJc w:val="left"/>
      <w:pPr>
        <w:ind w:left="5825" w:hanging="360"/>
        <w:widowControl/>
      </w:pPr>
    </w:lvl>
    <w:lvl w:ilvl="8">
      <w:start w:val="1"/>
      <w:numFmt w:val="lowerRoman"/>
      <w:isLgl w:val="false"/>
      <w:suff w:val="tab"/>
      <w:lvlText w:val="%9."/>
      <w:lvlJc w:val="right"/>
      <w:pPr>
        <w:ind w:left="6545" w:hanging="180"/>
        <w:widowControl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widowControl/>
      </w:pPr>
      <w:rPr>
        <w:rFonts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widowControl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widowControl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widowControl/>
      </w:pPr>
      <w:rPr>
        <w:rFonts w:ascii="Calibri" w:hAnsi="Calibri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widowControl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widowControl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widowControl/>
      </w:pPr>
      <w:rPr>
        <w:rFonts w:ascii="Calibri" w:hAnsi="Calibri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widowControl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widowControl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7"/>
    <w:link w:val="696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5"/>
    <w:next w:val="69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5"/>
    <w:next w:val="69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5"/>
    <w:next w:val="69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5"/>
    <w:next w:val="69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5"/>
    <w:next w:val="69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5"/>
    <w:next w:val="69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5"/>
    <w:next w:val="69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5"/>
    <w:next w:val="69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5"/>
    <w:next w:val="69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7"/>
    <w:link w:val="34"/>
    <w:uiPriority w:val="10"/>
    <w:rPr>
      <w:sz w:val="48"/>
      <w:szCs w:val="48"/>
    </w:rPr>
  </w:style>
  <w:style w:type="paragraph" w:styleId="36">
    <w:name w:val="Subtitle"/>
    <w:basedOn w:val="695"/>
    <w:next w:val="69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7"/>
    <w:link w:val="36"/>
    <w:uiPriority w:val="11"/>
    <w:rPr>
      <w:sz w:val="24"/>
      <w:szCs w:val="24"/>
    </w:rPr>
  </w:style>
  <w:style w:type="paragraph" w:styleId="38">
    <w:name w:val="Quote"/>
    <w:basedOn w:val="695"/>
    <w:next w:val="69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5"/>
    <w:next w:val="69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7"/>
    <w:link w:val="707"/>
    <w:uiPriority w:val="99"/>
  </w:style>
  <w:style w:type="character" w:styleId="45">
    <w:name w:val="Footer Char"/>
    <w:basedOn w:val="697"/>
    <w:link w:val="714"/>
    <w:uiPriority w:val="99"/>
  </w:style>
  <w:style w:type="paragraph" w:styleId="46">
    <w:name w:val="Caption"/>
    <w:basedOn w:val="695"/>
    <w:next w:val="69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97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03"/>
    <w:uiPriority w:val="99"/>
    <w:rPr>
      <w:sz w:val="18"/>
    </w:rPr>
  </w:style>
  <w:style w:type="paragraph" w:styleId="178">
    <w:name w:val="endnote text"/>
    <w:basedOn w:val="69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7"/>
    <w:uiPriority w:val="99"/>
    <w:semiHidden/>
    <w:unhideWhenUsed/>
    <w:rPr>
      <w:vertAlign w:val="superscript"/>
    </w:rPr>
  </w:style>
  <w:style w:type="paragraph" w:styleId="181">
    <w:name w:val="toc 1"/>
    <w:basedOn w:val="695"/>
    <w:next w:val="69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5"/>
    <w:next w:val="69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5"/>
    <w:next w:val="69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5"/>
    <w:next w:val="69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5"/>
    <w:next w:val="69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5"/>
    <w:next w:val="69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5"/>
    <w:next w:val="69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5"/>
    <w:next w:val="69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5"/>
    <w:next w:val="69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5"/>
    <w:next w:val="695"/>
    <w:uiPriority w:val="99"/>
    <w:unhideWhenUsed/>
    <w:pPr>
      <w:spacing w:after="0" w:afterAutospacing="0"/>
    </w:pPr>
  </w:style>
  <w:style w:type="paragraph" w:styleId="695" w:default="1">
    <w:name w:val="Normal"/>
    <w:qFormat/>
  </w:style>
  <w:style w:type="paragraph" w:styleId="696">
    <w:name w:val="Heading 1"/>
    <w:basedOn w:val="695"/>
    <w:link w:val="721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paragraph" w:styleId="700">
    <w:name w:val="List Paragraph"/>
    <w:basedOn w:val="695"/>
    <w:link w:val="701"/>
    <w:uiPriority w:val="34"/>
    <w:qFormat/>
    <w:pPr>
      <w:contextualSpacing/>
      <w:ind w:left="720"/>
    </w:pPr>
  </w:style>
  <w:style w:type="character" w:styleId="701" w:customStyle="1">
    <w:name w:val="Абзац списка Знак"/>
    <w:link w:val="700"/>
    <w:uiPriority w:val="34"/>
  </w:style>
  <w:style w:type="table" w:styleId="702">
    <w:name w:val="Table Grid"/>
    <w:basedOn w:val="698"/>
    <w:uiPriority w:val="39"/>
    <w:qFormat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3">
    <w:name w:val="footnote text"/>
    <w:basedOn w:val="695"/>
    <w:link w:val="704"/>
    <w:uiPriority w:val="99"/>
    <w:unhideWhenUsed/>
    <w:pPr>
      <w:spacing w:after="0" w:line="240" w:lineRule="auto"/>
    </w:pPr>
    <w:rPr>
      <w:sz w:val="20"/>
      <w:szCs w:val="20"/>
    </w:rPr>
  </w:style>
  <w:style w:type="character" w:styleId="704" w:customStyle="1">
    <w:name w:val="Текст сноски Знак"/>
    <w:basedOn w:val="697"/>
    <w:link w:val="703"/>
    <w:uiPriority w:val="99"/>
    <w:rPr>
      <w:sz w:val="20"/>
      <w:szCs w:val="20"/>
    </w:rPr>
  </w:style>
  <w:style w:type="character" w:styleId="705">
    <w:name w:val="footnote reference"/>
    <w:basedOn w:val="697"/>
    <w:uiPriority w:val="99"/>
    <w:unhideWhenUsed/>
    <w:rPr>
      <w:vertAlign w:val="superscript"/>
    </w:rPr>
  </w:style>
  <w:style w:type="character" w:styleId="706" w:customStyle="1">
    <w:name w:val="Верхний колонтитул Знак"/>
    <w:basedOn w:val="697"/>
    <w:link w:val="707"/>
    <w:uiPriority w:val="99"/>
  </w:style>
  <w:style w:type="paragraph" w:styleId="707">
    <w:name w:val="Header"/>
    <w:basedOn w:val="695"/>
    <w:link w:val="70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8" w:customStyle="1">
    <w:name w:val="Верхний колонтитул Знак1"/>
    <w:basedOn w:val="697"/>
    <w:uiPriority w:val="99"/>
    <w:semiHidden/>
  </w:style>
  <w:style w:type="character" w:styleId="709" w:customStyle="1">
    <w:name w:val="Default Знак"/>
    <w:link w:val="710"/>
    <w:rPr>
      <w:rFonts w:ascii="TTE1B82F50t00" w:hAnsi="TTE1B82F50t00" w:eastAsia="Times New Roman" w:cs="TTE1B82F50t00"/>
      <w:color w:val="000000"/>
      <w:sz w:val="24"/>
      <w:szCs w:val="24"/>
      <w:lang w:eastAsia="ru-RU"/>
    </w:rPr>
  </w:style>
  <w:style w:type="paragraph" w:styleId="710" w:customStyle="1">
    <w:name w:val="Default"/>
    <w:link w:val="709"/>
    <w:qFormat/>
    <w:pPr>
      <w:spacing w:after="0" w:line="240" w:lineRule="auto"/>
      <w:widowControl w:val="off"/>
    </w:pPr>
    <w:rPr>
      <w:rFonts w:ascii="TTE1B82F50t00" w:hAnsi="TTE1B82F50t00" w:eastAsia="Times New Roman" w:cs="TTE1B82F50t00"/>
      <w:color w:val="000000"/>
      <w:sz w:val="24"/>
      <w:szCs w:val="24"/>
      <w:lang w:eastAsia="ru-RU"/>
    </w:rPr>
  </w:style>
  <w:style w:type="paragraph" w:styleId="711" w:customStyle="1">
    <w:name w:val="ConsPlusNormal"/>
    <w:link w:val="712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712" w:customStyle="1">
    <w:name w:val="ConsPlusNormal Знак"/>
    <w:link w:val="711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713" w:customStyle="1">
    <w:name w:val="Font Style14"/>
    <w:uiPriority w:val="99"/>
    <w:rPr>
      <w:rFonts w:ascii="Times New Roman" w:hAnsi="Times New Roman" w:cs="Times New Roman"/>
      <w:sz w:val="24"/>
      <w:szCs w:val="24"/>
    </w:rPr>
  </w:style>
  <w:style w:type="paragraph" w:styleId="714">
    <w:name w:val="Footer"/>
    <w:basedOn w:val="695"/>
    <w:link w:val="71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5" w:customStyle="1">
    <w:name w:val="Нижний колонтитул Знак"/>
    <w:basedOn w:val="697"/>
    <w:link w:val="714"/>
    <w:uiPriority w:val="99"/>
  </w:style>
  <w:style w:type="character" w:styleId="716" w:customStyle="1">
    <w:name w:val="Font Style11"/>
    <w:basedOn w:val="697"/>
    <w:uiPriority w:val="99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717" w:customStyle="1">
    <w:name w:val="Font Style12"/>
    <w:basedOn w:val="697"/>
    <w:uiPriority w:val="99"/>
    <w:rPr>
      <w:rFonts w:ascii="Times New Roman" w:hAnsi="Times New Roman" w:cs="Times New Roman"/>
      <w:color w:val="000000"/>
      <w:sz w:val="26"/>
      <w:szCs w:val="26"/>
    </w:rPr>
  </w:style>
  <w:style w:type="paragraph" w:styleId="718" w:customStyle="1">
    <w:name w:val="Style3"/>
    <w:basedOn w:val="695"/>
    <w:uiPriority w:val="99"/>
    <w:pPr>
      <w:jc w:val="both"/>
      <w:spacing w:after="0" w:line="295" w:lineRule="exact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719">
    <w:name w:val="Hyperlink"/>
    <w:uiPriority w:val="99"/>
    <w:unhideWhenUsed/>
    <w:rPr>
      <w:color w:val="0000ff"/>
      <w:u w:val="single"/>
    </w:rPr>
  </w:style>
  <w:style w:type="table" w:styleId="720" w:customStyle="1">
    <w:name w:val="Сетка таблицы1"/>
    <w:basedOn w:val="698"/>
    <w:next w:val="702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21" w:customStyle="1">
    <w:name w:val="Заголовок 1 Знак"/>
    <w:basedOn w:val="697"/>
    <w:link w:val="696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722">
    <w:name w:val="Balloon Text"/>
    <w:basedOn w:val="695"/>
    <w:link w:val="72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23" w:customStyle="1">
    <w:name w:val="Текст выноски Знак"/>
    <w:basedOn w:val="697"/>
    <w:link w:val="722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login.consultant.ru/link/?req=doc&amp;base=LAW&amp;n=431984&amp;date=14.06.2023" TargetMode="External"/><Relationship Id="rId13" Type="http://schemas.openxmlformats.org/officeDocument/2006/relationships/hyperlink" Target="https://login.consultant.ru/link/?req=doc&amp;base=LAW&amp;n=431984&amp;date=14.06.202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6A55D-05A2-4F49-8B52-2CB768F41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Скрябина М.И.</dc:creator>
  <cp:lastModifiedBy>skryabina</cp:lastModifiedBy>
  <cp:revision>6</cp:revision>
  <dcterms:created xsi:type="dcterms:W3CDTF">2024-02-08T12:21:00Z</dcterms:created>
  <dcterms:modified xsi:type="dcterms:W3CDTF">2025-02-26T14:03:53Z</dcterms:modified>
</cp:coreProperties>
</file>