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ind w:firstLine="540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РАСПОРЯЖЕНИЕ</w:t>
      </w:r>
      <w:r/>
    </w:p>
    <w:p>
      <w:pPr>
        <w:pStyle w:val="829"/>
        <w:jc w:val="center"/>
      </w:pPr>
      <w:r>
        <w:rPr>
          <w:sz w:val="24"/>
        </w:rPr>
        <w:t xml:space="preserve">от 17 апреля 2019 г. N 768-р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Правительства РФ от 07.02.2026 N 210-р)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Утвердить прилагаемый </w:t>
      </w:r>
      <w:hyperlink w:tooltip="СТАНДАРТ" w:anchor="P39" w:history="1">
        <w:r>
          <w:rPr>
            <w:color w:val="0000ff"/>
            <w:sz w:val="24"/>
          </w:rPr>
          <w:t xml:space="preserve">стандарт</w:t>
        </w:r>
      </w:hyperlink>
      <w:r>
        <w:rPr>
          <w:sz w:val="24"/>
        </w:rPr>
        <w:t xml:space="preserve"> развития конкуренции в субъектах Российской Федерации (далее - стандарт).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Рекомендовать: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исполнительным органам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tooltip="СТАНДАРТ" w:anchor="P39" w:history="1">
        <w:r>
          <w:rPr>
            <w:color w:val="0000ff"/>
            <w:sz w:val="24"/>
          </w:rPr>
          <w:t xml:space="preserve">стандарта</w:t>
        </w:r>
      </w:hyperlink>
      <w:r>
        <w:rPr>
          <w:sz w:val="24"/>
        </w:rPr>
        <w:t xml:space="preserve">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Правительства РФ от 07.02.2026 N 210-р)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РФ от 07.02.2026 N 210-р.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ФАС России: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утвердить методику расчета ключевых показателей развития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утвердить методику формирования рейтинга субъектов Российской Федерации по уровню содействия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утвердить методику осуществления мониторинга состояния конкуренции в субъекте Российской Федерации на приоритетных товарных рынках;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образовать межведомственную рабочую группу по вопросам реализации положений </w:t>
      </w:r>
      <w:hyperlink w:tooltip="СТАНДАРТ" w:anchor="P39" w:history="1">
        <w:r>
          <w:rPr>
            <w:color w:val="0000ff"/>
            <w:sz w:val="24"/>
          </w:rPr>
          <w:t xml:space="preserve">стандарта</w:t>
        </w:r>
      </w:hyperlink>
      <w:r>
        <w:rPr>
          <w:sz w:val="24"/>
        </w:rPr>
        <w:t xml:space="preserve"> при Экспертном совете по вопросам развития конкуренции в субъектах Российской Федерации при ФАС России;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представлять при необходимости в Правительство Российской Федерации в установленном порядке предложения о внесении изменений в </w:t>
      </w:r>
      <w:hyperlink w:tooltip="СТАНДАРТ" w:anchor="P39" w:history="1">
        <w:r>
          <w:rPr>
            <w:color w:val="0000ff"/>
            <w:sz w:val="24"/>
          </w:rPr>
          <w:t xml:space="preserve">стандарт</w:t>
        </w:r>
      </w:hyperlink>
      <w:r>
        <w:rPr>
          <w:sz w:val="24"/>
        </w:rPr>
        <w:t xml:space="preserve">, одобренные указанной межведомственной рабочей группой по вопросам реализации положений </w:t>
      </w:r>
      <w:hyperlink w:tooltip="СТАНДАРТ" w:anchor="P39" w:history="1">
        <w:r>
          <w:rPr>
            <w:color w:val="0000ff"/>
            <w:sz w:val="24"/>
          </w:rPr>
          <w:t xml:space="preserve">стандарта</w:t>
        </w:r>
      </w:hyperlink>
      <w:r>
        <w:rPr>
          <w:sz w:val="24"/>
        </w:rPr>
        <w:t xml:space="preserve">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представлять в Правительство Российской Федерации ежегодно в составе доклада о состоянии конкуренции в Российской Федерации информацию о результатах внедрения </w:t>
      </w:r>
      <w:hyperlink w:tooltip="СТАНДАРТ" w:anchor="P39" w:history="1">
        <w:r>
          <w:rPr>
            <w:color w:val="0000ff"/>
            <w:sz w:val="24"/>
          </w:rPr>
          <w:t xml:space="preserve">стандарта</w:t>
        </w:r>
      </w:hyperlink>
      <w:r>
        <w:rPr>
          <w:sz w:val="24"/>
        </w:rPr>
        <w:t xml:space="preserve">.</w:t>
      </w:r>
      <w:r/>
    </w:p>
    <w:p>
      <w:pPr>
        <w:pStyle w:val="827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Правительства РФ от 07.02.2026 N 210-р)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РФ от 07.02.2026 N 210-р.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5 сентября 2015 г. N 1738-р (Собрание законодательства Российской Федерации, 2015, N 37, ст. 5176);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17 сентября 2016 г. N 1969-р (Собрание законодательства Российской Федерации, 2016, N 39, ст. 5702).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Д.МЕДВЕДЕВ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7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17 апреля 2019 г. N 768-р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/>
      <w:bookmarkStart w:id="39" w:name="P39"/>
      <w:r/>
      <w:bookmarkEnd w:id="39"/>
      <w:r>
        <w:rPr>
          <w:sz w:val="24"/>
        </w:rPr>
        <w:t xml:space="preserve">СТАНДАРТ</w:t>
      </w:r>
      <w:r/>
    </w:p>
    <w:p>
      <w:pPr>
        <w:pStyle w:val="829"/>
        <w:jc w:val="center"/>
      </w:pPr>
      <w:r>
        <w:rPr>
          <w:sz w:val="24"/>
        </w:rPr>
        <w:t xml:space="preserve">РАЗВИТИЯ КОНКУРЕНЦИИ В СУБЪЕКТАХ РОССИЙСКОЙ ФЕДЕРАЦИИ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Правительства РФ от 07.02.2026 N 210-р)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Стандарт развития конкуренции в субъектах Российской Федерации (далее - стандарт) разработан в рамках реализации </w:t>
      </w:r>
      <w:r>
        <w:rPr>
          <w:sz w:val="24"/>
        </w:rPr>
        <w:t xml:space="preserve">пункта 7</w:t>
      </w:r>
      <w:r>
        <w:rPr>
          <w:sz w:val="24"/>
        </w:rPr>
        <w:t xml:space="preserve"> и </w:t>
      </w:r>
      <w:r>
        <w:rPr>
          <w:sz w:val="24"/>
        </w:rPr>
        <w:t xml:space="preserve">подпункта "в" пункта 8</w:t>
      </w:r>
      <w:r>
        <w:rPr>
          <w:sz w:val="24"/>
        </w:rPr>
        <w:t xml:space="preserve"> Указа Презид</w:t>
      </w:r>
      <w:r>
        <w:rPr>
          <w:sz w:val="24"/>
        </w:rPr>
        <w:t xml:space="preserve">ента Российской Федерации от 21 декабря 2017 г. N 618 "Об основных направлениях государственной политики по развитию конкуренции", а также мероприятия федерального проекта "Развитие конкуренции" национального проекта "Эффективная и конкурентная экономика".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Целями стандарта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установление системного и единообразного подхода к осуществлению деятельности исполнительных органов субъектов Российской Федерации, органов местно</w:t>
      </w:r>
      <w:r>
        <w:rPr>
          <w:sz w:val="24"/>
        </w:rPr>
        <w:t xml:space="preserve">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(сферах) экономики субъектов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содействие формированию прозрачной системы работы исполнительных органов субъектов Российской Федерации в части реализации результативных и эффективных мер по развитию конкуренции в интересах потребителей товаров, работ и услуг (далее - потребители);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выявление потенциала развития экономики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создание стимулов и содействие формировани</w:t>
      </w:r>
      <w:r>
        <w:rPr>
          <w:sz w:val="24"/>
        </w:rPr>
        <w:t xml:space="preserve">ю условий для развития, поддержки и защиты субъектов малого и среднего предпринимательства и социально ориентированных некоммерческих организаций, повышения уровня конкурентоспособности их продукции, а также содействие устранению административных барьеров;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содействие каждым субъектом Российской Федерации развитию конкуренции на товарных рынках для достижения положительного эффекта в соответствующих отраслях (сферах) экономики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Принципами реализации стандарта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ориентация на потребителя - высшее должностное лицо (руководитель высшего исполнительного органа) субъекта Российской Федерации (далее - высшее должностное лицо) и исполнительные органы субъекта Российской Федерации во взаимодействии с руководством мун</w:t>
      </w:r>
      <w:r>
        <w:rPr>
          <w:sz w:val="24"/>
        </w:rPr>
        <w:t xml:space="preserve">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потребителей, других участников экономической деятельности и общества в целом;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заинтересованность высшего должностного лица - высшее должностное лицо обеспечивает единство целей и направлений деятельности исполнительных органов субъекта Российской Федерации для результативной и эффективной реализации стандарта;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системный подход - совершенствование деятельности исполнительных органов субъекта Российской Федерации по анализу состояния товарных рынков, поведения </w:t>
      </w:r>
      <w:r>
        <w:rPr>
          <w:sz w:val="24"/>
        </w:rPr>
        <w:t xml:space="preserve">хозяйствующих субъектов на указанных рынках и выявленных ожиданий потребителей, а также по планированию деятельности, формированию процессов и систем мониторинга, оценки, контроля и анализа деятельности исполнительных органов субъекта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постоянное совершенствование деятельности - повышение удовлетворенности потребителей и других участн</w:t>
      </w:r>
      <w:r>
        <w:rPr>
          <w:sz w:val="24"/>
        </w:rPr>
        <w:t xml:space="preserve">иков экономической деятельности качеством товаров, работ и услуг, обеспечение информационного взаимодействия с потребителями и другими заинтересованными сторонами, проведение аудита и анализа результативности мероприятий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прозрачность деятельности - содействие исполнительных органов субъекта Российской Фед</w:t>
      </w:r>
      <w:r>
        <w:rPr>
          <w:sz w:val="24"/>
        </w:rPr>
        <w:t xml:space="preserve">ерации обеспечению открытости и доступности для потребителей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конкуренцию.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Этапы реализации стандарта: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определение уполномоченного органа субъекта Российской Федерации, ответственного за реализацию стандарта (далее - уполномоченный орган), и должностных лиц, ответственных за реализацию стандарта;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разработка, утверждение и исполнение плана мероприятий ("дорожной карты") по содействию развитию конкуренции в субъекте Российской Федерации (далее - "дорожная карта");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мониторинг состояния конкуренции в субъекте Российской Федерации (далее - мониторинг);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подготовка ежегодного доклада о состоянии конкуренции в субъекте Российской Федерации (далее - ежегодный доклад).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Уполномоченным органом и органами местного самоуправления, за исключением гг. Москвы, Санкт-Петербурга и Севастополя, заключаются соглашения (меморандумы) о реализации стандарта в субъекте Российской Федерации (далее - соглашения).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соглашении отражаются положения, определяющие его цели и предмет, описываются порядок, формы и направления в</w:t>
      </w:r>
      <w:r>
        <w:rPr>
          <w:sz w:val="24"/>
        </w:rPr>
        <w:t xml:space="preserve">заимодействия исполнительных органов субъекта Российской Федерации и органов местного самоуправления. В рамках соглашения органы местного самоуправления оказывают содействие исполнительным органам субъекта Российской Федерации при реализации ими стандарта.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Для повышения мотивации руководителей исполнительных органов субъекта Российской</w:t>
      </w:r>
      <w:r>
        <w:rPr>
          <w:sz w:val="24"/>
        </w:rPr>
        <w:t xml:space="preserve">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исполнительных органов субъекта Российской Федерации и орган</w:t>
      </w:r>
      <w:r>
        <w:rPr>
          <w:sz w:val="24"/>
        </w:rPr>
        <w:t xml:space="preserve">ов местного самоуправления в части реализации стандарта и исполнения мероприятий "дорожной карты" при принятии в установленном порядке решений о поощрении руководителей исполнительных органов субъекта Российской Федерации и органов местного самоуправления.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Определение уполномоченного органа и должностных лиц,</w:t>
      </w:r>
      <w:r/>
    </w:p>
    <w:p>
      <w:pPr>
        <w:pStyle w:val="829"/>
        <w:jc w:val="center"/>
      </w:pPr>
      <w:r>
        <w:rPr>
          <w:sz w:val="24"/>
        </w:rPr>
        <w:t xml:space="preserve">ответственных за реализацию стандарта, формирование</w:t>
      </w:r>
      <w:r/>
    </w:p>
    <w:p>
      <w:pPr>
        <w:pStyle w:val="829"/>
        <w:jc w:val="center"/>
      </w:pPr>
      <w:r>
        <w:rPr>
          <w:sz w:val="24"/>
        </w:rPr>
        <w:t xml:space="preserve">коллегиального координационного или совещательного</w:t>
      </w:r>
      <w:r/>
    </w:p>
    <w:p>
      <w:pPr>
        <w:pStyle w:val="829"/>
        <w:jc w:val="center"/>
      </w:pPr>
      <w:r>
        <w:rPr>
          <w:sz w:val="24"/>
        </w:rPr>
        <w:t xml:space="preserve">органа, созданного при высшем должностном лице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7. Высшее должностное лицо определяет уполномоченный орган из числа исполнительных органов субъекта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Уполномоченный орган: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формирует с участием исп</w:t>
      </w:r>
      <w:r>
        <w:rPr>
          <w:sz w:val="24"/>
        </w:rPr>
        <w:t xml:space="preserve">олнительных органов субъекта Российской Федерации, осуществляющих (координирующих) деятельность в установленных сферах ведения, перечень товарных рынков для содействия развитию конкуренции в субъекте Российской Федерации (далее - перечень товарных рынков);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разрабатывает проект "дорожной карты" с учетом предложений исполнительных органов субъекта Российс</w:t>
      </w:r>
      <w:r>
        <w:rPr>
          <w:sz w:val="24"/>
        </w:rPr>
        <w:t xml:space="preserve">кой Федерации и органов местного самоуправления по развитию конкуренции (при наличии) и представляет его на рассмотрение членам коллегиального координационного или совещательного органа, созданного при высшем должностном лице (далее - коллегиальный орган);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координирует (в том числе с использованием методов проектного управления при принятии соответствующего решения) деятельность исполнительных органов субъекта Российской Федераци</w:t>
      </w:r>
      <w:r>
        <w:rPr>
          <w:sz w:val="24"/>
        </w:rPr>
        <w:t xml:space="preserve">и по выполнению мероприятий "дорожной карты", в том числе посредством создания межведомственных рабочих групп по рассмотрению ключевых вопросов содействия развитию конкуренции в отраслях (сферах) экономики субъекта Российской Федерации (при необходимости);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подготавливает ежегодный доклад;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размещает информацию о деятельности по содействию развитию конкуренции и соответствующие материалы на официальном сайте уполномоченного органа в информационно-телекоммуникационной сети "Интернет" (далее - сеть "Интернет");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рассматривает обращения по вопросам содействия развитию конкуренции, относящимся к компетенции уполномоченного органа;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организует или осуществляет проведение для исполните</w:t>
      </w:r>
      <w:r>
        <w:rPr>
          <w:sz w:val="24"/>
        </w:rPr>
        <w:t xml:space="preserve">льных органов субъекта Российской Федерации и органов местного самоуправления обучающих мероприятий и тренингов по вопросам содействия развитию конкуренции и повышения качества процессов, связанных с предоставлением услуг, влияющих на развитие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осуществляет оценку результативности деятельности исполнительных органов субъекта Российской Федерации и органов местного самоуправления по выполнению мероприятий "дорожной карты", а также иных мероприятий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и) формирует при принятии высшим должностным лицом решения, предусматривающие систему поощрений, рейтинг муниципальных образований в части их деятельности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к) осуществляет методическое сопровождение деятельности исполнительных органов субъекта Российской Федерации и органов местного самоуправления по применению основополагающих принципов государственной политики по развитию конкуренции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21 декабря 2017 г. N 618 "Об основных направлениях государственной политики по развитию конкуренции", в том числе: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обеспечению исполнительными органами субъекта Российской Федерации и органами местного самоуправления приоритета целей и задач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обеспечению единства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разработке и исполнению мероприятий "дорожной карты", а также иных мероприятий по содействию развитию конкуренции и проведению анализа их результативности;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применению мер поддержки хозяйствующих субъектов (в том числе посредством рассмотрения проектов правовых актов) на предмет влияния на состояние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обеспечению информационного взаимодействия с потребителями, участниками экономической деятельности (предпринимательским сообществом) и другими заинтересованными сторонами;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обеспечению доступности для потребителей и других участников экономической деятельности информации о решениях и мероприятиях, оказывающих воздействие на конкуренцию.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В исполнительных органах субъекта Российской Федерации определяются должностные лица с правом принятия управленческих решений, занимающие должности не ниже заместителя руководителя, ответственные за координацию вопросов содействия развитию конк</w:t>
      </w:r>
      <w:r>
        <w:rPr>
          <w:sz w:val="24"/>
        </w:rPr>
        <w:t xml:space="preserve">уренции, а также структурные подразделения, ответственные за разработку и реализацию "дорожных карт" в подведомственной сфере деятельности. Соответствующие обязанности и полномочия вносятся в должностные регламенты и положения о структурных подразделениях.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В рамках реализаци</w:t>
      </w:r>
      <w:r>
        <w:rPr>
          <w:sz w:val="24"/>
        </w:rPr>
        <w:t xml:space="preserve">и мероприятий "дорожной карты", а также иных мероприятий по содействию развитию конкуренции исполнительные органы субъекта Российской Федерации, осуществляющие (координирующие) деятельность в установленной сфере ведения, при участии уполномоченного органа: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подготавливают при необходимости предложения по улучшению конкурентной среды на товарных рынках субъекта Российской Федерации (в виде проектов актов или иных документов);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осуществляют реализацию мероприятий "дорожной карты", а также иных мероприятий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обеспечивают единство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обеспечивают информационное взаимодействие с потребителями, д</w:t>
      </w:r>
      <w:r>
        <w:rPr>
          <w:sz w:val="24"/>
        </w:rPr>
        <w:t xml:space="preserve">ругими участниками экономической деятельности и иными заинтересованными сторонами, в том числе в целях доступности для потребителей и других участников экономической деятельности информации о решениях и мероприятиях, оказывающих воздействие на конкуренцию;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проводят анализ результативности мероприятий "дорожной карты", а также иных мероприятий по содействию развитию конкуренции, формируют разделы проекта ежегодного доклада.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В целях оценки эффективности реализации стандарта коллегиальный орган на своих заседаниях (под председательством лица не ниже заместителя высшего должностного лица), проводимых по мере необходимости, но не реже одного раза в год, рассматривает: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проект "дорожной карты", включая перечень товарных рынков, ключевые показатели развития конкуренции (далее - ключевые показатели) и их значения, мероприятия, направленные на их достижение, а также предложения о корректировке "дорожной карты";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результаты и анализ результатов мониторинга;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проект ежегодного доклада;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иную информацию, касающуюся развития конкуренции в субъекте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В состав коллегиального органа (в том числе в рамках отдельных специализированных рабочих групп по направлениям) включаются руководители или заместители руководителей исполнительных органов субъект</w:t>
      </w:r>
      <w:r>
        <w:rPr>
          <w:sz w:val="24"/>
        </w:rPr>
        <w:t xml:space="preserve">а Российской Федерации, заинтересованные представители совета муниципальных образований субъекта Российской Федерации, уполномоченный по защите прав предпринимателей в субъекте Российской Федерации, представители бизнеса, а также иные лица (при необходимос</w:t>
      </w:r>
      <w:r>
        <w:rPr>
          <w:sz w:val="24"/>
        </w:rPr>
        <w:t xml:space="preserve">ти). Функции коллегиального органа по решению высшего должностного лица также могут быть возложены на координационный или совещательный орган, созданный в субъекте Российской Федерации в целях улучшения условий для ведения предпринимательской деятельности.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Разработка, утверждение и реализация "дорожной карты"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14. "Дорожная карта" разрабатывается уполномоченным органом и содержит следующую информацию: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перечень товарных рынко</w:t>
      </w:r>
      <w:r>
        <w:rPr>
          <w:sz w:val="24"/>
        </w:rPr>
        <w:t xml:space="preserve">в с описанием текущей ситуации на каждом товарном рынке (в отношении приоритетных и дополнительных товарных рынков (при их наличии), аргументированным обоснованием выбора каждого дополнительного товарного рынка (при их наличии) и анализом основных проблем;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сведения о мероприятиях (с указанием срока их разработки и реализации), обеспечивающих достижение установленных целевых результатов</w:t>
      </w:r>
      <w:r>
        <w:rPr>
          <w:sz w:val="24"/>
        </w:rPr>
        <w:t xml:space="preserve"> развития конкуренции (далее - целевые результаты) в отношении каждого товарного рынка, при этом рекомендуется включать самостоятельные мероприятия, не входящие в планы мероприятий иных стратегических и программных документов субъекта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целевые результаты, ключевые показатели и их значения на товарных рынках, включенных в перечень товарных рынков (с указанием срока их достижения);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сведения об исполнителях и соисполнителях, ответственных за разработку и реализацию мероприятий, обеспечивающих достижение установленных целевых результатов.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В перечень товарных рынков включаются товарные рынки по перечню приоритетных товарных рынков для содействия развитию конкуренции в субъе</w:t>
      </w:r>
      <w:r>
        <w:rPr>
          <w:sz w:val="24"/>
        </w:rPr>
        <w:t xml:space="preserve">кте Российской Федерации согласно приложению. В перечень товарных рынков могут включаться дополнительные товарные рынки, учитывающие специфику субъекта Российской Федерации. При выборе дополнительных товарных рынков рекомендуется в первую очередь включать: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товарные рынки, имеющие высокую социальную значимость;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товарные рынки несырьевого сектора экономики с высокой степенью передела и добавленной стоимости конечной продукции, имеющей экспортный потенциал и </w:t>
      </w:r>
      <w:r>
        <w:rPr>
          <w:sz w:val="24"/>
        </w:rPr>
        <w:t xml:space="preserve">(или) возможность замещения импорта, чьи производственно-технологические и инновационные цепочки, а также цепочки создания добавленной стоимости находятся преимущественно в Российской Федерации (в том числе в рамках промышленных и инновационных кластеров);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товарные рынки по производству высокотехнологичной продукции и (или) технически сложной продукции с перспективными технология</w:t>
      </w:r>
      <w:r>
        <w:rPr>
          <w:sz w:val="24"/>
        </w:rPr>
        <w:t xml:space="preserve">ми, развитие которых приведет к созданию инновационных систем полного цикла в Российской Федерации и формированию потенциала достижения новых технологических уровней и (или) потенциала встраивания в глобальную производственную и технологическую кооперацию.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Наряду с мероприятиями, сформированными в целях достижения ключевых показателей, в "дорожной карте" предусматриваются также системные мероприятия, которые должны быть направлены на развитие конкуренции в субъекте Российской Федерации, в том числе: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 развитие конкурентоспособности товаров, работ и услуг субъектов малого и среднего предпринимательства и социально ориентированных некоммерческих организаций;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на обеспечение прозрачности и доступности закупок товаров, работ и услуг, осуществляемых с использованием конкурентных способов определения поставщиков (подрядчиков, исполнителей), предусматривающих: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снижение случаев (снижение количества) осуществления закупок у единственного поставщика;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введение механизма оказания содействия участникам закупок по вопросам, связанным с получением электронной подписи, формированием заявок, а также с правовым сопровождением при осуществлении закупок;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расшире</w:t>
      </w:r>
      <w:r>
        <w:rPr>
          <w:sz w:val="24"/>
        </w:rPr>
        <w:t xml:space="preserve">ние участия субъектов малого и среднего предпринимательства и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на устранение избыточного государственного и муниципального регулирования, а также на снижение административных барьеров, включая: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r>
        <w:rPr>
          <w:sz w:val="24"/>
        </w:rPr>
        <w:t xml:space="preserve">статьям 15</w:t>
      </w:r>
      <w:r>
        <w:rPr>
          <w:sz w:val="24"/>
        </w:rPr>
        <w:t xml:space="preserve"> и </w:t>
      </w:r>
      <w:r>
        <w:rPr>
          <w:sz w:val="24"/>
        </w:rPr>
        <w:t xml:space="preserve">16</w:t>
      </w:r>
      <w:r>
        <w:rPr>
          <w:sz w:val="24"/>
        </w:rPr>
        <w:t xml:space="preserve"> Федерального закона "О защите конкуренции";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наличие в порядка</w:t>
      </w:r>
      <w:r>
        <w:rPr>
          <w:sz w:val="24"/>
        </w:rPr>
        <w:t xml:space="preserve">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Федерации, устанавливаемых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общих принципах организации публичной власти в субъектах Российской Федерации" 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общих принципах о</w:t>
      </w:r>
      <w:r>
        <w:rPr>
          <w:sz w:val="24"/>
        </w:rPr>
        <w:t xml:space="preserve">рганизации местного самоуправления в единой системе публичной власти",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на совершенствование процессов управления объектами государственной собственности субъекта Российской Федерации и муниципальной собственности в рамк</w:t>
      </w:r>
      <w:r>
        <w:rPr>
          <w:sz w:val="24"/>
        </w:rPr>
        <w:t xml:space="preserve">ах полномочий исполнительных органов субъектов Российской Федерации или органов местного самоуправления, закрепленных за ними законодательством Российской Федерации, а также на ограничение влияния государственных и муниципальных предприятий на конкуренцию;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на создание условий для недискриминационного доступа хозяйствующих субъектов на товарные рынки;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на создание благоприятной среды </w:t>
      </w:r>
      <w:r>
        <w:rPr>
          <w:sz w:val="24"/>
        </w:rPr>
        <w:t xml:space="preserve">для развития конкуренции на финансовом рынке и повышения доступности финансовых услуг (продуктов) для физических и юридических лиц, в том числе субъектов малого и среднего предпринимательства и социально ориентированных некоммерческих организаций, включая: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содействие повышению их удовлетворенности доступным выбором финансовых организаций, осуществляющих деятельность в субъекте Российской Федерации, их работой, а также оказываемыми (предоставляемыми) финансовыми услугами (продуктами);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содействие обеспечению свободного выбора финансовых услуг (продуктов) для потребителей, недопущению навязывания потребителям невыгодных условий предоставления им финансовых услуг (продуктов), введения их в заб</w:t>
      </w:r>
      <w:r>
        <w:rPr>
          <w:sz w:val="24"/>
        </w:rPr>
        <w:t xml:space="preserve">луждение, ограничения их в выборе поставщика финансовых услуг (продуктов) (в частности, недопущению ограничений при осуществлении переводов), например, при выплате заработной платы, пенсионных и иных выплат, а также платежей за жилищно-коммунальные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исключение избыточн</w:t>
      </w:r>
      <w:r>
        <w:rPr>
          <w:sz w:val="24"/>
        </w:rPr>
        <w:t xml:space="preserve">ых и (или) дискриминационных критериев допуска к соответствующим программам (в частности, при размещении средств бюджетов субъектов Российской Федерации, реализации региональных программ поддержки) и проектам (инфраструктурные проекты, зарплатные проекты);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содействие обеспечению </w:t>
      </w:r>
      <w:r>
        <w:rPr>
          <w:sz w:val="24"/>
        </w:rPr>
        <w:t xml:space="preserve">доступности инфраструктуры предоставления финансовых услуг (продуктов), расширению набора финансовых услуг (продуктов) и повышению их качества в населенных пунктах субъектов Российской Федерации, оказание поддержки органами государственной власти субъекта </w:t>
      </w:r>
      <w:r>
        <w:rPr>
          <w:sz w:val="24"/>
        </w:rPr>
        <w:t xml:space="preserve">Российской Федерации и органами местного самоуправления в получении информации о торгово-сервисных предприятиях субъекта Российской Федерации и информировании физических лиц о возможностях использования электронных терминалов и сервиса "наличные на кассе";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и рассмотрение с участием операторов связи предложений по повы</w:t>
      </w:r>
      <w:r>
        <w:rPr>
          <w:sz w:val="24"/>
        </w:rPr>
        <w:t xml:space="preserve">шению зоны покрытия и качества связи сети "Интернет" как необходимого условия для повышения уровня проникновения дистанционных каналов предоставления финансовых услуг (продуктов) и устранения географических барьеров в сфере конкуренции на финансовом рынке;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содействие сохранению необходимого количества точек доступа к финансовым услугам (продуктам) в сельской местности и на отдаленных, малонаселенных и труднодоступных территориях, развитие различных облегченных форматов обслуживания;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содействие созданию условий для принятия участниками экономической деятельности осознанных решени</w:t>
      </w:r>
      <w:r>
        <w:rPr>
          <w:sz w:val="24"/>
        </w:rPr>
        <w:t xml:space="preserve">й при использовании финансовых услуг (продуктов), в том числе в рамках повышения финансовой грамотности, включающей инвестиционную, налоговую, пенсионную, бюджетную грамотность и инициативное бюджетирование, а также цифровой грамотности и киберграмотности;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содействие повышению осведомленности субъектов малого и среднего предпринимательства о доступных инструментах финансирования.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Наряду с системными мероприятиями, указанными в пункте 16 стандарта, в "дорожную карту" могут быть включены мероприятия, направленные: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 включение в программы по повышению качества управления закупочной деятельностью компаний с государственным участием следующих показателей эффективности: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прирост объема закупок у субъектов малого и среднего предпринимательства;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увеличение количества участников закупок из числа субъектов малого и среднего предпринимательства и социально ориентированных некоммерческих организаций;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увеличение количества поставщиков (подрядчиков, исполнителей) из числа субъектов малого и среднего предпринимательства и социально ориентированных некоммерческих организаций, а также количества договоров, заключаемых с такими субъектами и организациями;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экономия средств заказчика за счет участия в закупках субъектов малого и среднего предпринимательства и социально ориентированных некоммерческих организаций;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на обеспечение равных условий досту</w:t>
      </w:r>
      <w:r>
        <w:rPr>
          <w:sz w:val="24"/>
        </w:rPr>
        <w:t xml:space="preserve">па к информации о государственном имуществе субъекта Российской Федерации и об имуществе, находящемся в собственности муниципальных образований, в том числе об имуществе, включаемом в перечни имущества для предоставления на льготных условиях субъектам мало</w:t>
      </w:r>
      <w:r>
        <w:rPr>
          <w:sz w:val="24"/>
        </w:rPr>
        <w:t xml:space="preserve">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 Федерации и муниципальной собственности;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на реализацию мер, направленных на выравнивание условий конкуренции на товарных рынках субъекта Российской Федерации (включая темпы роста цен);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на обучение государственн</w:t>
      </w:r>
      <w:r>
        <w:rPr>
          <w:sz w:val="24"/>
        </w:rPr>
        <w:t xml:space="preserve">ых гражданских служащих исполнительных органов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на недопущение ограничения конкуренции при предоставлении мер поддержки производителям товаров, работ и услуг;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на развит</w:t>
      </w:r>
      <w:r>
        <w:rPr>
          <w:sz w:val="24"/>
        </w:rPr>
        <w:t xml:space="preserve">ие организованных торгов, проводимых на основании лицензии биржи или лицензии торговой системы, товарами и производными финансовыми инструментами, базисным активом которых является товар, системы товарных индикаторов, в том числе по следующим направлениям: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стимулирование хозяйствующих субъектов, осуществляющих деятельность на территории субъекта Российской Федерации, в том числе субъектов малого и среднего предпринимательства, хозя</w:t>
      </w:r>
      <w:r>
        <w:rPr>
          <w:sz w:val="24"/>
        </w:rPr>
        <w:t xml:space="preserve">йствующих субъектов, доля участия субъекта Российской Федерации и (или) муниципального образования в которых составляет 50 процентов и более, принимать участие в организованных торгах в качестве участников торгов (включая торговлю в мелкооптовом сегменте);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повышение уровня информированности хозяйствующих субъектов об организованных торгах товарами и производными финансовы</w:t>
      </w:r>
      <w:r>
        <w:rPr>
          <w:sz w:val="24"/>
        </w:rPr>
        <w:t xml:space="preserve">ми инструментами, базисным активом которых является товар, и о системе товарных индикаторов посредством проведения конференций, семинаров, вебинаров и других мероприятий, а также с помощью размещения на официальном сайте уполномоченного органа в сети "Инте</w:t>
      </w:r>
      <w:r>
        <w:rPr>
          <w:sz w:val="24"/>
        </w:rPr>
        <w:t xml:space="preserve">рнет" в отдельном разделе "Организованные торги" актуальной и постоянно обновляемой информации о биржах и торговых системах, осуществляющих деятельность на территории Российской Федерации, включая официальные сайты бирж и торговых систем в сети "Интернет";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развитие товарных индикаторов, определяемых на основе сделок, заключенных на организованных торгах, а также сбора информации о внебиржевых сделках;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взаимодействие с участниками рынка в целях обеспечения допуска к организованным торгам товаров, характерных для субъекта Российской Федерации (при наличии) и ранее не участвовавших в организованных торгах;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на иные мероприятия по содействию развитию конкуренции, необходимые для достижения установленных показателей.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18. С учетом соглашения в "дорожную карту" могут включаться мероприятия по содействию развитию конкуренции, реализуемые органами местного самоуправления.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19. Значения ключевых показателей и мероприятия по содействию развитию конкуренции на приоритетных товарных рынках определяются в "дорожной карте" на период до 2030 года включительно (н</w:t>
      </w:r>
      <w:r>
        <w:rPr>
          <w:sz w:val="24"/>
        </w:rPr>
        <w:t xml:space="preserve">а каждый год периода 2026 - 2030 годов) с учетом необходимости обязательного достижения к 31 декабря 2030 г. значений целевых результатов не ниже значений, предусмотренных приложением к стандарту. В отношении дополнительных товарных рынков (при их наличии)</w:t>
      </w:r>
      <w:r>
        <w:rPr>
          <w:sz w:val="24"/>
        </w:rPr>
        <w:t xml:space="preserve"> значения целевых результатов и мероприятия по содействию развитию конкуренции на таких товарных рынках определяются на период до 2030 года включительно субъектами Российской Федерации самостоятельно с учетом специфики их социально-экономического развития.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20. Проект "дорожной карты" рассматр</w:t>
      </w:r>
      <w:r>
        <w:rPr>
          <w:sz w:val="24"/>
        </w:rPr>
        <w:t xml:space="preserve">ивается на заседании коллегиального органа и при одобрении им не позднее 3 рабочих дней направляется на согласование в Федеральную антимонопольную службу. При получении согласования Федеральной антимонопольной службы проект "дорожной карты" выносится на ут</w:t>
      </w:r>
      <w:r>
        <w:rPr>
          <w:sz w:val="24"/>
        </w:rPr>
        <w:t xml:space="preserve">верждение высшего должностного лица. При этом не менее чем за 10 календарных дней до заседания коллегиального органа проект "дорожной карты" размещается на официальном сайте уполномоченного органа в сети "Интернет". Субъектам предпринимательской деятельнос</w:t>
      </w:r>
      <w:r>
        <w:rPr>
          <w:sz w:val="24"/>
        </w:rPr>
        <w:t xml:space="preserve">ти, потребителям и общественным организациям, представляющим интересы потребителей, обеспечивается возможность представления предложений и замечаний по проекту "дорожной карты", которые рассматриваются уполномоченным органом при доработке "дорожной карты".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В "дорожную карту" могут ежегодно вноситься изменения с учетом анализа результатов мониторинга и получаемой информации. Не допускается включение в "дорожную карту" фактически выполненных мероприятий.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22. Реализация мероприятий "дорожной карты" осуществляется в установленные "дорожной картой" сроки.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Проведение мониторинга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23. Федеральная антимонопольная служба ежегодно проводит мониторинг на приоритетных товарных рынках.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24. Мониторинг включает в себя: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мониторинг наличия (отсутствия) административных барьеров и оценки состояния конкуренции хозяйствующими субъектами, предусматривающий: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выделение групп хозяйствующих субъектов, а также вида деятельности (наименование товарного рынка, на котором хозяйствующий субъект, представляющий свою оценку состояния конкуренции, фактически осуществляет хозяйственную деятельность);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сбор данных о состоянии и изменении конкуренции, а также построение на основе указанных данных репрезентативных оценок в отношении субъекта Российской Федерации и сегментов хозяйственной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сбор данных о наличии и уровне административных барьеров в сферах регулирования, в том числе данных о наличии жалоб в надзо</w:t>
      </w:r>
      <w:r>
        <w:rPr>
          <w:sz w:val="24"/>
        </w:rPr>
        <w:t xml:space="preserve">рные органы по этой проблематике и динамике их поступления в сравнении с предыдущим отчетным периодом, а также формирование на основе указанных данных репрезентативных оценок в отношении субъекта Российской Федерации и сегментов хозяйственной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сбор данных о возможностях недискриминационного дос</w:t>
      </w:r>
      <w:r>
        <w:rPr>
          <w:sz w:val="24"/>
        </w:rPr>
        <w:t xml:space="preserve">тупа на товарные рынки субъекта Российской Федерации, а также товарные рынки субъектов Российской Федерации, имеющих с ним общие территориальные границы, в части появления новых хозяйствующих субъектов и начала осуществления ими хозяйственной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мониторинг удов</w:t>
      </w:r>
      <w:r>
        <w:rPr>
          <w:sz w:val="24"/>
        </w:rPr>
        <w:t xml:space="preserve">летворенности потребителей состоянием ценовой конкуренции, предусматривающий 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мониторинг удовлетворенности хозяйствующих субъектов качеством (в том числе уровнем дос</w:t>
      </w:r>
      <w:r>
        <w:rPr>
          <w:sz w:val="24"/>
        </w:rPr>
        <w:t xml:space="preserve">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 муниципальными образованиями.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25. Мониторинг проводится в соответствии с единой методик</w:t>
      </w:r>
      <w:r>
        <w:rPr>
          <w:sz w:val="24"/>
        </w:rPr>
        <w:t xml:space="preserve">ой мониторинга состояния и развития конкуренции в субъекте Российской Федерации, утверждаемой Федеральной антимонопольной службой. Результаты мониторинга направляются Федеральной антимонопольной службой исполнительным органам субъекта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26. Результаты мониторинга учитываются исполнительными органами субъектов Российской Федерации при анализе деятельности и планировании мероприятий по содействию развитию конкуренции и разработке ключевых показателей на предстоящий период.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27. В це</w:t>
      </w:r>
      <w:r>
        <w:rPr>
          <w:sz w:val="24"/>
        </w:rPr>
        <w:t xml:space="preserve">лях оперативного реагирования и совершенствования условий осуществления предпринимательской деятельности субъект Российской Федерации вправе осуществлять дополнительный мониторинг, направленный на выявление проблемных вопросов в сфере развития конкуренции.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  <w:t xml:space="preserve">V. Подготовка ежегодного доклада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</w:t>
      </w:r>
      <w:r>
        <w:rPr>
          <w:sz w:val="24"/>
        </w:rPr>
        <w:t xml:space="preserve">8. По результатам деятельности исполнительных органов субъекта Российской Федерации и органов местного самоуправления по выполнению мероприятий по содействию развитию конкуренции уполномоченный орган подготавливает ежегодный доклад, содержащий в том числе: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анализ результативности и эффективности деятельности исполнительных органов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 "дорожной карты";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предложени</w:t>
      </w:r>
      <w:r>
        <w:rPr>
          <w:sz w:val="24"/>
        </w:rPr>
        <w:t xml:space="preserve">я о повышении эффективности и результативности деятельности исполнительных органов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иную информацию, характеризующую состояние конкуренции в субъекте Российской Федерации (при необходимости).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29. Ежегодный доклад по результатам рассмотрения утверждается ко</w:t>
      </w:r>
      <w:r>
        <w:rPr>
          <w:sz w:val="24"/>
        </w:rPr>
        <w:t xml:space="preserve">ллегиальным органом и в срок до 30 апреля года, следующего за отчетным, направляется уполномоченным органом в Федеральную антимонопольную службу, территориальное учреждение Центрального банка Российской Федерации по месту нахождения уполномоченного органа.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30. На основе предложений об улучшении деятельности в области содействия развитию конкуренции, содержащихся в ежегодном докладе, коллегиальный орган вносит предложения о корректировке "дорожной карты".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VI. Повышение уровня информированности хозяйствующих</w:t>
      </w:r>
      <w:r/>
    </w:p>
    <w:p>
      <w:pPr>
        <w:pStyle w:val="829"/>
        <w:jc w:val="center"/>
      </w:pPr>
      <w:r>
        <w:rPr>
          <w:sz w:val="24"/>
        </w:rPr>
        <w:t xml:space="preserve">субъектов и потребителей о состоянии конкуренции</w:t>
      </w:r>
      <w:r/>
    </w:p>
    <w:p>
      <w:pPr>
        <w:pStyle w:val="829"/>
        <w:jc w:val="center"/>
      </w:pPr>
      <w:r>
        <w:rPr>
          <w:sz w:val="24"/>
        </w:rPr>
        <w:t xml:space="preserve">и деятельности по содействию развитию конкуренции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31. На официальном</w:t>
      </w:r>
      <w:r>
        <w:rPr>
          <w:sz w:val="24"/>
        </w:rPr>
        <w:t xml:space="preserve"> сайте уполномоченного органа в сети "Интернет" в отдельном разделе не реже чем один раз в год размещаются ежегодный доклад, информация о выполнении требований стандарта и мероприятий "дорожной карты", документы, принимаемые во исполнение стандарта и "доро</w:t>
      </w:r>
      <w:r>
        <w:rPr>
          <w:sz w:val="24"/>
        </w:rPr>
        <w:t xml:space="preserve">жной карты" и в целях содействия развитию конкуренции, а также сведения об эффекте, достигнутом при внедрении стандарта. Аналогичная информация размещается в отдельном разделе интернет-портала об инвестиционной деятельности в субъекте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Информация о деятельности исполнительных органов субъекта Российской Федерации и органов местного самоуправления (в рамках соглашения) по содействию развитию конкуренции также размещается для общего сведения в средствах массовой информации.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 официальном сайте уполномоченного органа в сети "Интернет" и в отдельном разделе интернет-портала об инвестиционной деятельности в субъекте Российской Федерации разм</w:t>
      </w:r>
      <w:r>
        <w:rPr>
          <w:sz w:val="24"/>
        </w:rPr>
        <w:t xml:space="preserve">ещается информация о мерах и инфраструктуре поддержки субъектов малого и среднего предпринимательства и социально ориентированных некоммерческих организаций (включая отдельный подраздел для производителей сельскохозяйственной продукции), систематизированна</w:t>
      </w:r>
      <w:r>
        <w:rPr>
          <w:sz w:val="24"/>
        </w:rPr>
        <w:t xml:space="preserve">я по приоритетам развития субъекта Российской Федерации и видам деятельности, с указанием порядка получения указанной поддержки (в том числе в виде схемы) и показателей эффективности региональной программы, в рамках которой осуществляется эта деятельность.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32. В целях общественного контроля за деятельностью исполнительных органов субъекта Российской Федерации Федеральной антимонопольной службой организуется обсуждение вопросов достижения ключевых показателей и внедрения стандарта.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стандарту развития конкуренции</w:t>
      </w:r>
      <w:r/>
    </w:p>
    <w:p>
      <w:pPr>
        <w:pStyle w:val="827"/>
        <w:jc w:val="right"/>
      </w:pPr>
      <w:r>
        <w:rPr>
          <w:sz w:val="24"/>
        </w:rPr>
        <w:t xml:space="preserve">в субъектах Российской Федерации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ПЕРЕЧЕНЬ</w:t>
      </w:r>
      <w:r/>
    </w:p>
    <w:p>
      <w:pPr>
        <w:pStyle w:val="829"/>
        <w:jc w:val="center"/>
      </w:pPr>
      <w:r>
        <w:rPr>
          <w:sz w:val="24"/>
        </w:rPr>
        <w:t xml:space="preserve">ПРИОРИТЕТНЫХ ТОВАРНЫХ РЫНКОВ ДЛЯ СОДЕЙСТВИЯ РАЗВИТИЮ</w:t>
      </w:r>
      <w:r/>
    </w:p>
    <w:p>
      <w:pPr>
        <w:pStyle w:val="829"/>
        <w:jc w:val="center"/>
      </w:pPr>
      <w:r>
        <w:rPr>
          <w:sz w:val="24"/>
        </w:rPr>
        <w:t xml:space="preserve">КОНКУРЕНЦИИ В СУБЪЕКТЕ РОССИЙСКОЙ ФЕДЕРАЦИИ</w:t>
      </w:r>
      <w:r/>
    </w:p>
    <w:p>
      <w:pPr>
        <w:pStyle w:val="827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1699"/>
        <w:gridCol w:w="2891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Наименование товарного рынка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Наименование ключевого показателя развития конкуренции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Минимальное значение целевого результата развития конкуренции к 31 декабря 2030 г.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1. Рынок производства и реализации сельскохозяйственной продукции, в том числе продукции крестьянских (фермерских) хозяйств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2. 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3. Рынок оказания медицинских услуг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4. Рынок услуг розничной торговли лекарственными препаратами, медицинскими изделиями и сопутствующими товарами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5. 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6. Рынок добычи общераспространенных полезных ископаемых на участках недр местного значения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7. Рынок торговли продовольственными товарами в неспециализированных магазинах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8. Рынок гостиничных услуг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9. Рынок оказания услуг по общественному питанию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рост индекса конкуренции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+ 1 рейтинговый класс индекса конкуренции &lt;*&gt;</w:t>
            </w:r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</w:t>
      </w:r>
      <w:r>
        <w:rPr>
          <w:sz w:val="24"/>
        </w:rPr>
        <w:t xml:space="preserve">внению с базовым значением по итогам 2025 года. В случае если базовым значением является наивысший рейтинговый класс индекса конкуренции, целевым результатом развития конкуренции будет являться сохранение наивысшего рейтингового класса индекса конкуренции.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31" w:right="566" w:bottom="80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2178" w:default="1">
    <w:name w:val="Default Paragraph Font"/>
    <w:uiPriority w:val="1"/>
    <w:semiHidden/>
    <w:unhideWhenUsed/>
  </w:style>
  <w:style w:type="numbering" w:styleId="2179" w:default="1">
    <w:name w:val="No List"/>
    <w:uiPriority w:val="99"/>
    <w:semiHidden/>
    <w:unhideWhenUsed/>
  </w:style>
  <w:style w:type="table" w:styleId="21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17.04.2019 N 768-р
(ред. от 07.02.2026)
&lt;Об утверждении стандарта развития конкуренции в субъектах Российской Федерации&gt;</dc:title>
  <cp:lastModifiedBy>skryabina</cp:lastModifiedBy>
  <cp:revision>1</cp:revision>
  <dcterms:created xsi:type="dcterms:W3CDTF">2026-02-11T13:09:57Z</dcterms:created>
  <dcterms:modified xsi:type="dcterms:W3CDTF">2026-02-11T13:15:00Z</dcterms:modified>
</cp:coreProperties>
</file>