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17" w:type="dxa"/>
        <w:tblInd w:w="13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2"/>
        <w:gridCol w:w="3685"/>
      </w:tblGrid>
      <w:tr>
        <w:tblPrEx/>
        <w:trPr>
          <w:trHeight w:val="9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32" w:type="dxa"/>
            <w:vAlign w:val="top"/>
            <w:textDirection w:val="lrTb"/>
            <w:noWrap w:val="false"/>
          </w:tcPr>
          <w:p>
            <w:pPr>
              <w:pStyle w:val="880"/>
              <w:ind w:left="-22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80"/>
              <w:ind w:left="175" w:hanging="4"/>
              <w:jc w:val="both"/>
              <w:tabs>
                <w:tab w:val="left" w:pos="4060" w:leader="none"/>
                <w:tab w:val="left" w:pos="6878" w:leader="none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Утвержден решением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880"/>
              <w:ind w:left="175" w:hanging="4"/>
              <w:jc w:val="both"/>
              <w:tabs>
                <w:tab w:val="left" w:pos="4060" w:leader="none"/>
                <w:tab w:val="left" w:pos="6878" w:leader="none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Совета по улучшению инвестиционного климата в Мурманской области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880"/>
              <w:ind w:left="175" w:hanging="4"/>
              <w:jc w:val="both"/>
              <w:tabs>
                <w:tab w:val="left" w:pos="4060" w:leader="none"/>
                <w:tab w:val="left" w:pos="6878" w:leader="none"/>
              </w:tabs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03.03.2025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pStyle w:val="880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</w:r>
      <w:r>
        <w:rPr>
          <w:rFonts w:eastAsia="Times New Roman"/>
          <w:b/>
          <w:bCs/>
          <w:color w:val="000000"/>
          <w:sz w:val="26"/>
          <w:szCs w:val="26"/>
          <w:lang w:eastAsia="ru-RU"/>
        </w:rPr>
      </w:r>
    </w:p>
    <w:p>
      <w:pPr>
        <w:pStyle w:val="880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880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Сводный д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оклад об антимонопольном комплаенсе 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880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в 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исполнительных органах Мурманской области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за 20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24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год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880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21.12.2017 № 618 «Об основных направлениях </w:t>
      </w:r>
      <w:r>
        <w:rPr>
          <w:sz w:val="28"/>
          <w:szCs w:val="28"/>
        </w:rPr>
        <w:t xml:space="preserve">государственной политики по развитию конкуренции», в соответствии с постановлением Правительства Мурманской области от 19.02.2019 № 61-ПП «О системе внутреннего обеспечения соответствия требованиям антимонопольного законодательства деятельности исполнитель</w:t>
      </w:r>
      <w:r>
        <w:rPr>
          <w:sz w:val="28"/>
          <w:szCs w:val="28"/>
        </w:rPr>
        <w:t xml:space="preserve">ных органов государственной власти Мурманской области» в целях формирования единого подхода к созданию и организации антимонопольного комплаенса в исполнительных органах Мурманской области приняты правовые акты о создании системы антимонопольного комплаенс</w:t>
      </w:r>
      <w:r>
        <w:rPr>
          <w:sz w:val="28"/>
          <w:szCs w:val="28"/>
        </w:rPr>
        <w:t xml:space="preserve">а, также утверждены карты рисков нарушения антимонопольного законодательства, планы мероприятий по снижению рисков нарушения антимонопольного законодательства, ключевые показатели эффективности функционирования в органах власти антимонопольного комплаенса.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ри</w:t>
      </w:r>
      <w:r>
        <w:rPr>
          <w:sz w:val="28"/>
          <w:szCs w:val="28"/>
        </w:rPr>
        <w:t xml:space="preserve">сков нарушения антимонопольного законодательства должностными лицами, ответственными за организацию и функционирование системы внутреннего обеспечения соответствия требованиям антимонопольного законодательства деятельности исполнительных органов Мурманской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проведены следующие мероприятия: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исполнительных органов Мурманской области за предыдущие 3 года (наличие предостережений, предупреждений, штрафов, жалоб, возбужденных дел);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анализ нормативных правовых актов Мурманской области, разработчиками которых являются исполнительные органы Мурманской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анализ проектов нормативных правовых актов Мурманской области, разработчиками которых являются исполнительные органы Мурманской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мониторинг и анализ практики применения исполнительными органами Мурманской области антимонопольного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исполнительных органах Мурманской области в 2024</w:t>
      </w:r>
      <w:r>
        <w:rPr>
          <w:sz w:val="28"/>
          <w:szCs w:val="28"/>
        </w:rPr>
        <w:t xml:space="preserve"> году организована и проведена работа по осуществлению сбора сведений о наличии нарушений антимонопольного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каждого органа власти в период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- 2024</w:t>
      </w:r>
      <w:r>
        <w:rPr>
          <w:sz w:val="28"/>
          <w:szCs w:val="28"/>
        </w:rPr>
        <w:t xml:space="preserve"> годов нарушения антимонопольного законодательства (наличие предостережений, пр</w:t>
      </w:r>
      <w:r>
        <w:rPr>
          <w:sz w:val="28"/>
          <w:szCs w:val="28"/>
        </w:rPr>
        <w:t xml:space="preserve">едупреждений, штрафов, жалоб, возбужденных дел) отсутствуют, за исключением Комитета по конкурентной политике Мурманской области, Министерства здравоохранения Мурманской области, Министерства энергетики и жилищно-коммунального хозяйства Мурманской области,</w:t>
      </w:r>
      <w:r>
        <w:rPr>
          <w:sz w:val="28"/>
          <w:szCs w:val="28"/>
        </w:rPr>
        <w:t xml:space="preserve"> Министерства образования и науки Мурманской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Феде</w:t>
      </w:r>
      <w:r>
        <w:rPr>
          <w:sz w:val="28"/>
          <w:szCs w:val="28"/>
        </w:rPr>
        <w:t xml:space="preserve">ральной антимонопольной службы </w:t>
      </w:r>
      <w:r>
        <w:rPr>
          <w:sz w:val="28"/>
          <w:szCs w:val="28"/>
        </w:rPr>
        <w:t xml:space="preserve">по Мурманской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numPr>
          <w:ilvl w:val="0"/>
          <w:numId w:val="15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Комитету по конкурентной политике Мурманской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вынесено предупреждение о прекращении действий (бездействия), которые содержат признаки нарушен</w:t>
      </w:r>
      <w:r>
        <w:rPr>
          <w:sz w:val="28"/>
          <w:szCs w:val="28"/>
        </w:rPr>
        <w:t xml:space="preserve">ия антимонопольного законодательства, а именно, части 1 статьи 15 Федерального закона от 26.07.2006 № 135-ФЗ «О защите конкуренции», выразившегося в разработке и утверждении Регламента работы на торговой площадке «Закупки Мурманской области», который преду</w:t>
      </w:r>
      <w:r>
        <w:rPr>
          <w:sz w:val="28"/>
          <w:szCs w:val="28"/>
        </w:rPr>
        <w:t xml:space="preserve">сматривает ведение Реестра фактов ненадлежащего исполнения обязательств поставщиками (подрядчиками, исполнителями) как дополнительную меру ответственности, не предусмотренную действующим законодательством, и применяемую по субъективному усмотрению Комитета</w:t>
      </w:r>
      <w:r>
        <w:rPr>
          <w:sz w:val="28"/>
          <w:szCs w:val="28"/>
        </w:rPr>
        <w:t xml:space="preserve"> по конкурентной политике Мурманской области</w:t>
      </w:r>
      <w:r>
        <w:rPr>
          <w:sz w:val="28"/>
          <w:szCs w:val="28"/>
        </w:rPr>
        <w:t xml:space="preserve"> на основании обращений заказчиков и без возможности хозяйствующих субъектов повлиять на результат рассмотрения обращений и оспорить их в определенном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по конкурентной политике Мурманской области</w:t>
      </w:r>
      <w:r>
        <w:rPr>
          <w:sz w:val="28"/>
          <w:szCs w:val="28"/>
        </w:rPr>
        <w:t xml:space="preserve"> проведена работа по исполнению предупреждения антимонопольного органа путем внесения изменений в Регламент и исключения из него указанного раздела. Предупреждение исполнено.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2023 году Министерству образования и науки Мурманской области </w:t>
      </w:r>
      <w:r>
        <w:rPr>
          <w:sz w:val="28"/>
          <w:szCs w:val="28"/>
        </w:rPr>
        <w:t xml:space="preserve">вынесено предупреждение о прекращении действий (бездействия), которые содержат признаки нарушения антимонопольного законодательства, а именно, части 1 статьи 15 Федерального закона от 26.07.2006 № 135-ФЗ «О защите конкуренции», выразившегося</w:t>
      </w:r>
      <w:r>
        <w:rPr>
          <w:sz w:val="28"/>
          <w:szCs w:val="28"/>
        </w:rPr>
        <w:t xml:space="preserve"> в наделении властными (контрольно-распорядительными функциями оператора системы персонифицированного финансирования дополнительного образования детей в Мурманской области, </w:t>
      </w:r>
      <w:r>
        <w:rPr>
          <w:sz w:val="28"/>
          <w:szCs w:val="28"/>
        </w:rPr>
        <w:t xml:space="preserve">связанных с осуществлением проверок деятельности и принятия юридически значимых решений в отношении иных хозяйствующих субъектов (организаций, осуществляющих образовательную деятельность по программам дополнительного образования)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Государственного автономного нетипового образовательного учреждения Мурманской области «Центр образования «Лапландия».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образования и науки Мурманской области</w:t>
      </w:r>
      <w:r>
        <w:rPr>
          <w:sz w:val="28"/>
          <w:szCs w:val="28"/>
        </w:rPr>
        <w:t xml:space="preserve"> проведена работа по исполнению предупр</w:t>
      </w:r>
      <w:r>
        <w:rPr>
          <w:sz w:val="28"/>
          <w:szCs w:val="28"/>
        </w:rPr>
        <w:t xml:space="preserve">еждения антимонопольного органа. </w:t>
      </w:r>
      <w:r>
        <w:rPr>
          <w:sz w:val="28"/>
          <w:szCs w:val="28"/>
        </w:rPr>
        <w:t xml:space="preserve">Предупреждение исполнено.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 2024 году Министерству здравоохранения Мурманской области вынесено предупреждение </w:t>
      </w:r>
      <w:r>
        <w:rPr>
          <w:sz w:val="28"/>
          <w:szCs w:val="28"/>
          <w:highlight w:val="none"/>
        </w:rPr>
        <w:t xml:space="preserve">о прекращении действий (бездействия), которые содержат признаки нарушения антимонопольного законодательства, а именно,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пункта 2 части 1 статьи 15 Закона о защите конкуренции, выразившегося в принятии Административного регламента </w:t>
      </w:r>
      <w:r>
        <w:rPr>
          <w:sz w:val="28"/>
          <w:szCs w:val="28"/>
          <w:highlight w:val="none"/>
        </w:rPr>
        <w:t xml:space="preserve">Министерства здравоохранения Мурманской области по предоставлению государственной услуги «Выдача разрешения на занятие народной медициной на территории Мурманской области» (административным регламентом установленно требование о наличии</w:t>
      </w:r>
      <w:r>
        <w:rPr>
          <w:sz w:val="28"/>
          <w:szCs w:val="28"/>
          <w:highlight w:val="none"/>
        </w:rPr>
        <w:t xml:space="preserve"> высшего или среднего медицинского образования к претендентам на занятие народной медициной, что противоречит положениям Федерального закона от 21.11.202141 № 323-ФЗ «Об основах охраны здоровья граждан в Российской Федерации»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Министерством здравоохранения Мурманской области</w:t>
      </w:r>
      <w:r>
        <w:rPr>
          <w:sz w:val="28"/>
          <w:szCs w:val="28"/>
        </w:rPr>
        <w:t xml:space="preserve"> проведена работа по исполнению предупр</w:t>
      </w:r>
      <w:r>
        <w:rPr>
          <w:sz w:val="28"/>
          <w:szCs w:val="28"/>
        </w:rPr>
        <w:t xml:space="preserve">еждения антимонопольного органа. </w:t>
      </w:r>
      <w:r>
        <w:rPr>
          <w:sz w:val="28"/>
          <w:szCs w:val="28"/>
        </w:rPr>
        <w:t xml:space="preserve">Предупреждение исполнено.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Министерству энергетики и жилищно-коммунального хозяйства Мурманской области </w:t>
      </w:r>
      <w:r>
        <w:rPr>
          <w:sz w:val="28"/>
          <w:szCs w:val="28"/>
          <w:highlight w:val="none"/>
        </w:rPr>
        <w:t xml:space="preserve">вынесено предупреждение </w:t>
      </w:r>
      <w:r>
        <w:rPr>
          <w:sz w:val="28"/>
          <w:szCs w:val="28"/>
          <w:highlight w:val="none"/>
        </w:rPr>
        <w:t xml:space="preserve">о прекращении действий (бездействия), которые содержат признаки нарушения антимонопольного законодательства, а именно, пункта 8 части 1 статьи 15 </w:t>
      </w:r>
      <w:r>
        <w:rPr>
          <w:sz w:val="28"/>
          <w:szCs w:val="28"/>
          <w:highlight w:val="none"/>
        </w:rPr>
        <w:t xml:space="preserve">Закона о защите конкуренции, выразившегося</w:t>
      </w:r>
      <w:r>
        <w:rPr>
          <w:sz w:val="28"/>
          <w:szCs w:val="28"/>
          <w:highlight w:val="none"/>
        </w:rPr>
        <w:t xml:space="preserve"> в том, что на рынке потребления услуг по обращению с ТКО хозяйствующие субъекты были поставлены в не</w:t>
      </w:r>
      <w:r>
        <w:rPr>
          <w:sz w:val="28"/>
          <w:szCs w:val="28"/>
          <w:highlight w:val="none"/>
        </w:rPr>
        <w:t xml:space="preserve">равные условия, вследствие произвольного установления нормативных накопления ТКО (хозяйствующие субъекты, осуществляющие торговую деятельность в промтоварных магазинах, оплачивали потребление услуг по обращению с ТКО в два раза больше, чем по нормативу, ко</w:t>
      </w:r>
      <w:r>
        <w:rPr>
          <w:sz w:val="28"/>
          <w:szCs w:val="28"/>
          <w:highlight w:val="none"/>
        </w:rPr>
        <w:t xml:space="preserve">торый был определен по результатам исполнения государственного контракта от 16.03.2017 (открытый конкурс от 02.03.2017 № 0149200002317000005, заказчик: Министерство природных ресурсов и экологии Мурманской области, исполнитель: ООО «СПБ-Энерготехнологии»).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Министерством </w:t>
      </w:r>
      <w:r>
        <w:rPr>
          <w:sz w:val="28"/>
          <w:szCs w:val="28"/>
          <w:highlight w:val="none"/>
        </w:rPr>
        <w:t xml:space="preserve">энергетики и жилищно-коммунального хозяйства</w:t>
      </w:r>
      <w:r>
        <w:rPr>
          <w:sz w:val="28"/>
          <w:szCs w:val="28"/>
        </w:rPr>
        <w:t xml:space="preserve"> Мурманской области</w:t>
      </w:r>
      <w:r>
        <w:rPr>
          <w:sz w:val="28"/>
          <w:szCs w:val="28"/>
        </w:rPr>
        <w:t xml:space="preserve"> проведена работа по исполнению предупр</w:t>
      </w:r>
      <w:r>
        <w:rPr>
          <w:sz w:val="28"/>
          <w:szCs w:val="28"/>
        </w:rPr>
        <w:t xml:space="preserve">еждения антимонопольного органа. </w:t>
      </w:r>
      <w:r>
        <w:rPr>
          <w:sz w:val="28"/>
          <w:szCs w:val="28"/>
        </w:rPr>
        <w:t xml:space="preserve">Предупреждение исполнено.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</w:t>
      </w:r>
      <w:r>
        <w:rPr>
          <w:sz w:val="28"/>
          <w:szCs w:val="28"/>
        </w:rPr>
        <w:t xml:space="preserve">акты Мурманской области, разработчиками которых являются исполнительные органы Мурманской области, в каждом органе власти сформированы перечни таких актов, имеющих риск нарушения антимонопольного законодательства (размещены на официальных сайтах ведомств).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все проекты нормативных правовых актов Мурманской области, разработчиками которых являются исполнительные органы Мурманской области, размещаются на официальных сайтах ведомств и на портале «Открытый электронный регион» (https:/</w:t>
      </w:r>
      <w:r>
        <w:rPr>
          <w:sz w:val="28"/>
          <w:szCs w:val="28"/>
        </w:rPr>
        <w:t xml:space="preserve">/openregion.gov-murman.ru/npa/) для публичного обсуждения региональных законопроектов и проектов нормативных правовых актов, где граждане, представители общественных и экспертных объединений могут вносить предложения, комментировать, предлагать изменения.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</w:t>
      </w:r>
      <w:r>
        <w:rPr>
          <w:sz w:val="28"/>
          <w:szCs w:val="28"/>
        </w:rPr>
        <w:t xml:space="preserve"> год на вышеук</w:t>
      </w:r>
      <w:r>
        <w:rPr>
          <w:sz w:val="28"/>
          <w:szCs w:val="28"/>
        </w:rPr>
        <w:t xml:space="preserve">азанных интернет-ресурсах размещены все проекты нормативных правовых актов, разработчиками которых являются исполнительные органы Мурманской области.  Замечаний и предложений в рамках антимонопольного законодательства от граждан и организаций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анализа норматив</w:t>
      </w:r>
      <w:r>
        <w:rPr>
          <w:sz w:val="28"/>
          <w:szCs w:val="28"/>
        </w:rPr>
        <w:t xml:space="preserve">ных правовых актов (в том числе проектов) можно сделать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в разработанные проекты нормативных правовых актов.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мониторинга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«дорожных карт» по снижению комплаенс-рисков в 2024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осуществленного исполнительными органами Мурманской области, установлено,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запланированные результаты</w:t>
      </w:r>
      <w:r>
        <w:rPr>
          <w:sz w:val="28"/>
          <w:szCs w:val="28"/>
        </w:rPr>
        <w:t xml:space="preserve"> в ходе деятельности ответственных лиц, реализующих мероприятия по минимизации и устранению рисков, достигнуты.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показателем эффективности антимонопольного комплаенса является отсутствие нарушений антимонопольного законодательства со стороны исполнительны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Мурманской области и отсутствие неисполненных предупреждений антимонопольного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нарушениями антимонопольного законодательства понимаются: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возбужденные антимонопольным органом в отношении органа власти антимонопольные 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выданные антимонопольным органом предупреждения о прекращении действий (бездей</w:t>
      </w:r>
      <w:r>
        <w:rPr>
          <w:sz w:val="28"/>
          <w:szCs w:val="28"/>
        </w:rPr>
        <w:t xml:space="preserve">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показатель эффективности функционирования в исполнительных органах Мурманской области антимонопольного комплаенса достигнут.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можно сделать вывод, что функционирование антимонопольного комплаен</w:t>
      </w:r>
      <w:r>
        <w:rPr>
          <w:sz w:val="28"/>
          <w:szCs w:val="28"/>
        </w:rPr>
        <w:t xml:space="preserve">са в исполнительных органах Мурманской области в целом является эффективным. Для снижения вероятности нарушений антимонопольного законодательства целесообразно продолжить реализацию «дорожных карт», обеспечить систематическое изучение практики ФАС России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территориальных органов, судебной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эффективности реализации системных мероприятий, направленных на развитие конкуренции в Мурманской области, «Количество нарушений антимонопольного законодательства со стороны органов государственной власти»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достигнут в полном объеме. Динамика по количеству вынесенных антимонопольным органом предупреждений о </w:t>
      </w:r>
      <w:r>
        <w:rPr>
          <w:sz w:val="28"/>
          <w:szCs w:val="28"/>
        </w:rPr>
        <w:t xml:space="preserve">признаках нарушения Федерального закона от 26.07.2006 № 135-ФЗ «О защите конкуренции» отсутствует (в 2022 году выдано 1 предупреждение</w:t>
      </w:r>
      <w:r>
        <w:rPr>
          <w:sz w:val="28"/>
          <w:szCs w:val="28"/>
        </w:rPr>
        <w:t xml:space="preserve">, в 2023 году выдано 1 предупреждение, в 2024 выдано 2 предупреждения</w:t>
      </w:r>
      <w:r>
        <w:rPr>
          <w:sz w:val="28"/>
          <w:szCs w:val="28"/>
        </w:rPr>
        <w:t xml:space="preserve">). </w:t>
        <w:br/>
      </w:r>
      <w:r>
        <w:rPr>
          <w:sz w:val="28"/>
          <w:szCs w:val="28"/>
        </w:rPr>
        <w:t xml:space="preserve">По возбужденным делам и вынесенным решениям динамика также отсутствует (в 2022 году дела не возбуждались</w:t>
      </w:r>
      <w:r>
        <w:rPr>
          <w:sz w:val="28"/>
          <w:szCs w:val="28"/>
        </w:rPr>
        <w:t xml:space="preserve">, в 2023 году дела не возбуждались, </w:t>
      </w:r>
      <w:r>
        <w:rPr>
          <w:sz w:val="28"/>
          <w:szCs w:val="28"/>
        </w:rPr>
        <w:t xml:space="preserve">в 2024 году дела не возбуждались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Комитетом по конкурентной политике Мурманской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органом, координирующим деятельность в части содействия развитию конкуренции в Мурманской области, в 2023 году совместно с </w:t>
      </w:r>
      <w:r>
        <w:rPr>
          <w:sz w:val="28"/>
          <w:szCs w:val="28"/>
        </w:rPr>
        <w:t xml:space="preserve">Мурманск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УФАС России</w:t>
      </w:r>
      <w:r>
        <w:rPr>
          <w:sz w:val="28"/>
          <w:szCs w:val="28"/>
        </w:rPr>
        <w:t xml:space="preserve"> разработаны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"https://goszakaz.gov-murman.ru/dokumenty-kgz/231026-prilozhenie-1-k-metodicheskim-rekomendatsiyam.pdf"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етодические рекомендации </w:t>
      </w:r>
      <w:r>
        <w:rPr>
          <w:sz w:val="28"/>
          <w:szCs w:val="28"/>
        </w:rPr>
        <w:fldChar w:fldCharType="end"/>
        <w:fldChar w:fldCharType="begin"/>
      </w:r>
      <w:r>
        <w:rPr>
          <w:sz w:val="28"/>
          <w:szCs w:val="28"/>
        </w:rPr>
        <w:instrText xml:space="preserve"> HYPERLINK "https://goszakaz.gov-murman.ru/dokumenty-kgz/231026-prilozhenie-1-k-metodicheskim-rekomendatsiyam.pdf"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 организации системы внутреннего обеспечения соответствия требованиям антимонопольного законодательства деятельности </w:t>
      </w:r>
      <w:r>
        <w:rPr>
          <w:sz w:val="28"/>
          <w:szCs w:val="28"/>
        </w:rPr>
        <w:fldChar w:fldCharType="end"/>
        <w:fldChar w:fldCharType="begin"/>
      </w:r>
      <w:r>
        <w:rPr>
          <w:sz w:val="28"/>
          <w:szCs w:val="28"/>
        </w:rPr>
        <w:instrText xml:space="preserve"> HYPERLINK "https://goszakaz.gov-murman.ru/dokumenty-kgz/231026-prilozhenie-1-k-metodicheskim-rekomendatsiyam.pdf"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исполнительных органов Мурманской области и органов местного </w:t>
      </w:r>
      <w:r>
        <w:rPr>
          <w:sz w:val="28"/>
          <w:szCs w:val="28"/>
        </w:rPr>
        <w:fldChar w:fldCharType="end"/>
        <w:fldChar w:fldCharType="begin"/>
      </w:r>
      <w:r>
        <w:rPr>
          <w:sz w:val="28"/>
          <w:szCs w:val="28"/>
        </w:rPr>
        <w:instrText xml:space="preserve"> HYPERLINK "https://goszakaz.gov-murman.ru/dokumenty-kgz/231026-prilozhenie-1-k-metodicheskim-rekomendatsiyam.pdf"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самоуправления муниципальных образований Мурманской области </w:t>
      </w:r>
      <w:r>
        <w:rPr>
          <w:sz w:val="28"/>
          <w:szCs w:val="28"/>
        </w:rPr>
        <w:fldChar w:fldCharType="end"/>
        <w:fldChar w:fldCharType="begin"/>
      </w:r>
      <w:r>
        <w:rPr>
          <w:sz w:val="28"/>
          <w:szCs w:val="28"/>
        </w:rPr>
        <w:instrText xml:space="preserve"> HYPERLINK "https://goszakaz.gov-murman.ru/dokumenty-kgz/231026-prilozhenie-1-k-metodicheskim-rekomendatsiyam.pdf"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(антимонопольный комплаенс),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примерами вариантов комплаенс рисков для исполнительных органов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органов местного самоуправления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25" w:right="851" w:bottom="851" w:left="1418" w:header="425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link w:val="734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jc w:val="center"/>
    </w:pPr>
    <w:rPr>
      <w:sz w:val="24"/>
      <w:szCs w:val="22"/>
      <w:lang w:val="ru-RU" w:eastAsia="en-US" w:bidi="ar-SA"/>
    </w:rPr>
  </w:style>
  <w:style w:type="paragraph" w:styleId="881">
    <w:name w:val="Заголовок 1"/>
    <w:basedOn w:val="880"/>
    <w:next w:val="880"/>
    <w:link w:val="897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82">
    <w:name w:val="Заголовок 9"/>
    <w:basedOn w:val="880"/>
    <w:next w:val="880"/>
    <w:link w:val="90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 w:cs="Times New Roman"/>
      <w:sz w:val="22"/>
    </w:rPr>
  </w:style>
  <w:style w:type="character" w:styleId="883">
    <w:name w:val="Основной шрифт абзаца"/>
    <w:next w:val="883"/>
    <w:link w:val="880"/>
    <w:uiPriority w:val="1"/>
    <w:unhideWhenUsed/>
  </w:style>
  <w:style w:type="table" w:styleId="884">
    <w:name w:val="Обычная таблица"/>
    <w:next w:val="884"/>
    <w:link w:val="880"/>
    <w:uiPriority w:val="99"/>
    <w:semiHidden/>
    <w:unhideWhenUsed/>
    <w:qFormat/>
    <w:tblPr/>
  </w:style>
  <w:style w:type="numbering" w:styleId="885">
    <w:name w:val="Нет списка"/>
    <w:next w:val="885"/>
    <w:link w:val="880"/>
    <w:uiPriority w:val="99"/>
    <w:semiHidden/>
    <w:unhideWhenUsed/>
  </w:style>
  <w:style w:type="paragraph" w:styleId="886">
    <w:name w:val="Верхний колонтитул"/>
    <w:basedOn w:val="880"/>
    <w:next w:val="886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>
    <w:name w:val="Верхний колонтитул Знак"/>
    <w:basedOn w:val="883"/>
    <w:next w:val="887"/>
    <w:link w:val="886"/>
    <w:uiPriority w:val="99"/>
  </w:style>
  <w:style w:type="paragraph" w:styleId="888">
    <w:name w:val="Нижний колонтитул"/>
    <w:basedOn w:val="880"/>
    <w:next w:val="888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>
    <w:name w:val="Нижний колонтитул Знак"/>
    <w:basedOn w:val="883"/>
    <w:next w:val="889"/>
    <w:link w:val="888"/>
    <w:uiPriority w:val="99"/>
  </w:style>
  <w:style w:type="table" w:styleId="890">
    <w:name w:val="Сетка таблицы"/>
    <w:basedOn w:val="884"/>
    <w:next w:val="890"/>
    <w:link w:val="880"/>
    <w:uiPriority w:val="59"/>
    <w:tblPr/>
  </w:style>
  <w:style w:type="paragraph" w:styleId="891">
    <w:name w:val="Текст сноски"/>
    <w:basedOn w:val="880"/>
    <w:next w:val="891"/>
    <w:link w:val="892"/>
    <w:uiPriority w:val="99"/>
    <w:semiHidden/>
    <w:unhideWhenUsed/>
    <w:rPr>
      <w:sz w:val="20"/>
      <w:szCs w:val="20"/>
    </w:rPr>
  </w:style>
  <w:style w:type="character" w:styleId="892">
    <w:name w:val="Текст сноски Знак"/>
    <w:next w:val="892"/>
    <w:link w:val="891"/>
    <w:uiPriority w:val="99"/>
    <w:semiHidden/>
    <w:rPr>
      <w:lang w:eastAsia="en-US"/>
    </w:rPr>
  </w:style>
  <w:style w:type="character" w:styleId="893">
    <w:name w:val="Знак сноски"/>
    <w:next w:val="893"/>
    <w:link w:val="880"/>
    <w:uiPriority w:val="99"/>
    <w:semiHidden/>
    <w:unhideWhenUsed/>
    <w:rPr>
      <w:vertAlign w:val="superscript"/>
    </w:rPr>
  </w:style>
  <w:style w:type="paragraph" w:styleId="894">
    <w:name w:val="Текст выноски"/>
    <w:basedOn w:val="880"/>
    <w:next w:val="894"/>
    <w:link w:val="895"/>
    <w:uiPriority w:val="99"/>
    <w:semiHidden/>
    <w:unhideWhenUsed/>
    <w:rPr>
      <w:rFonts w:ascii="Tahoma" w:hAnsi="Tahoma" w:cs="Tahoma"/>
      <w:sz w:val="16"/>
      <w:szCs w:val="16"/>
    </w:rPr>
  </w:style>
  <w:style w:type="character" w:styleId="895">
    <w:name w:val="Текст выноски Знак"/>
    <w:next w:val="895"/>
    <w:link w:val="89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6">
    <w:name w:val="Без интервала"/>
    <w:next w:val="896"/>
    <w:link w:val="880"/>
    <w:uiPriority w:val="1"/>
    <w:qFormat/>
    <w:pPr>
      <w:jc w:val="center"/>
    </w:pPr>
    <w:rPr>
      <w:sz w:val="24"/>
      <w:szCs w:val="22"/>
      <w:lang w:val="ru-RU" w:eastAsia="en-US" w:bidi="ar-SA"/>
    </w:rPr>
  </w:style>
  <w:style w:type="character" w:styleId="897">
    <w:name w:val="Заголовок 1 Знак"/>
    <w:next w:val="897"/>
    <w:link w:val="881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98">
    <w:name w:val="ConsPlusNormal"/>
    <w:next w:val="898"/>
    <w:link w:val="900"/>
    <w:rPr>
      <w:sz w:val="28"/>
      <w:szCs w:val="28"/>
      <w:lang w:val="ru-RU" w:eastAsia="ru-RU" w:bidi="ar-SA"/>
    </w:rPr>
  </w:style>
  <w:style w:type="paragraph" w:styleId="899">
    <w:name w:val="Абзац списка"/>
    <w:basedOn w:val="880"/>
    <w:next w:val="899"/>
    <w:link w:val="880"/>
    <w:uiPriority w:val="34"/>
    <w:qFormat/>
    <w:pPr>
      <w:contextualSpacing/>
      <w:ind w:left="720"/>
      <w:jc w:val="left"/>
    </w:pPr>
    <w:rPr>
      <w:rFonts w:eastAsia="Times New Roman"/>
      <w:sz w:val="28"/>
      <w:szCs w:val="28"/>
      <w:lang w:eastAsia="ru-RU"/>
    </w:rPr>
  </w:style>
  <w:style w:type="character" w:styleId="900">
    <w:name w:val="ConsPlusNormal Знак"/>
    <w:next w:val="900"/>
    <w:link w:val="898"/>
    <w:rPr>
      <w:sz w:val="28"/>
      <w:szCs w:val="28"/>
    </w:rPr>
  </w:style>
  <w:style w:type="character" w:styleId="901">
    <w:name w:val="Гиперссылка"/>
    <w:next w:val="901"/>
    <w:link w:val="880"/>
    <w:uiPriority w:val="99"/>
    <w:unhideWhenUsed/>
    <w:rPr>
      <w:color w:val="0000ff"/>
      <w:u w:val="single"/>
    </w:rPr>
  </w:style>
  <w:style w:type="paragraph" w:styleId="902">
    <w:name w:val="Обычный (веб)"/>
    <w:basedOn w:val="880"/>
    <w:next w:val="902"/>
    <w:link w:val="880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903">
    <w:name w:val="cardmaininfo__content"/>
    <w:next w:val="903"/>
    <w:link w:val="880"/>
  </w:style>
  <w:style w:type="character" w:styleId="904">
    <w:name w:val="cardmaininfo__purchaselink"/>
    <w:next w:val="904"/>
    <w:link w:val="880"/>
  </w:style>
  <w:style w:type="character" w:styleId="905">
    <w:name w:val="Заголовок 9 Знак,ITT t9 Знак,9 Знак,rb Знак,req bullet Знак,req1 Знак,heading 9 Знак, progress Знак,Titre 10 Знак,progress Знак,App Heading Знак,progress1 Знак,progress2 Знак,progress11 Знак,progress3 Знак,progress4 Знак,progress5 Знак,progress6 Знак"/>
    <w:next w:val="905"/>
    <w:link w:val="882"/>
    <w:rPr>
      <w:rFonts w:ascii="Cambria" w:hAnsi="Cambria" w:eastAsia="Times New Roman" w:cs="Times New Roman"/>
      <w:sz w:val="22"/>
      <w:szCs w:val="22"/>
      <w:lang w:eastAsia="en-US"/>
    </w:rPr>
  </w:style>
  <w:style w:type="paragraph" w:styleId="906">
    <w:name w:val="Default"/>
    <w:next w:val="906"/>
    <w:link w:val="880"/>
    <w:rPr>
      <w:rFonts w:eastAsia="Times New Roman"/>
      <w:color w:val="000000"/>
      <w:sz w:val="24"/>
      <w:szCs w:val="24"/>
      <w:lang w:val="ru-RU" w:eastAsia="ru-RU" w:bidi="ar-SA"/>
    </w:rPr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skryabina</cp:lastModifiedBy>
  <cp:revision>79</cp:revision>
  <dcterms:created xsi:type="dcterms:W3CDTF">2018-08-20T09:35:00Z</dcterms:created>
  <dcterms:modified xsi:type="dcterms:W3CDTF">2025-03-05T09:28:16Z</dcterms:modified>
  <cp:version>983040</cp:version>
</cp:coreProperties>
</file>