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left="6237" w:firstLine="0"/>
        <w:pageBreakBefore/>
        <w:shd w:val="clear" w:color="auto" w:fill="ffffff" w:themeFill="background1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ind w:left="6237" w:firstLine="0"/>
        <w:shd w:val="clear" w:color="auto" w:fill="ffffff" w:themeFill="background1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Комитета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конкурентной политике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ind w:left="6237" w:firstLine="0"/>
        <w:shd w:val="clear" w:color="auto" w:fill="ffffff" w:themeFill="background1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Мурманской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ind w:left="6237" w:firstLine="0"/>
        <w:shd w:val="clear" w:color="auto" w:fill="ffffff" w:themeFill="background1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01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6</w:t>
      </w:r>
      <w:r>
        <w:rPr>
          <w:rFonts w:ascii="Times New Roman" w:hAnsi="Times New Roman" w:cs="Times New Roman"/>
          <w:sz w:val="26"/>
          <w:szCs w:val="26"/>
        </w:rPr>
        <w:t xml:space="preserve">.202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ind w:left="6237" w:firstLine="0"/>
        <w:shd w:val="clear" w:color="auto" w:fill="ffffff" w:themeFill="background1"/>
        <w:widowControl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green"/>
        </w:rPr>
        <w:t xml:space="preserve">(в ред. от 14.01.2025 № 7) 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МЕТОДИЧЕСКИЕ РЕКОМЕНДАЦИИ ПО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ИНФОРМАЦИОННОМУ ОБЕСПЕЧЕНИЮ ЗАКУПОК, ОСУЩЕСТВЛЯЕМЫХ НА ТОРГОВОЙ ПЛОЩАДКЕ «ЗА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КУПКИ МУРМАНСКОЙ ОБЛАСТИ»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ГОСУДАРСТВЕННЫМИ БЮДЖЕТНЫМИ И АВТОНОМНЫМИ УЧРЕЖДЕНИЯМИ МУРМАНСКОЙ ОБЛАСТИ, ГОСУДАРСТВЕННЫМИ УНИТАРНЫМИ ПРЕДПРИЯТИЯМИ МУРМАНСКОЙ ОБЛАСТИ</w:t>
      </w:r>
      <w:r>
        <w:rPr>
          <w:rStyle w:val="894"/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информационному обеспечению закупок государственных бюджетных и автономных учреждений Мурманской области, государственных унитарных предприятий Мурманской области на торговой площадке «Закупки Мурманской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(далее – Методические рекомендации)</w:t>
      </w:r>
      <w:r>
        <w:rPr>
          <w:rFonts w:ascii="Times New Roman" w:hAnsi="Times New Roman" w:cs="Times New Roman"/>
          <w:sz w:val="26"/>
          <w:szCs w:val="26"/>
        </w:rPr>
        <w:t xml:space="preserve">, осуществляемых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18.07.2011 № 223-ФЗ «О закупках товаров, работ, услуг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тдельными видами юридических лиц» (далее – Заказчики, Закон № 223-ФЗ)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разработаны в рамках </w:t>
      </w:r>
      <w:r>
        <w:rPr>
          <w:rFonts w:ascii="Times New Roman" w:hAnsi="Times New Roman" w:cs="Times New Roman"/>
          <w:sz w:val="26"/>
          <w:szCs w:val="26"/>
        </w:rPr>
        <w:t xml:space="preserve">функции по </w:t>
      </w:r>
      <w:r>
        <w:rPr>
          <w:rFonts w:ascii="Times New Roman" w:hAnsi="Times New Roman" w:cs="Times New Roman"/>
          <w:sz w:val="26"/>
          <w:szCs w:val="26"/>
        </w:rPr>
        <w:t xml:space="preserve">методическо</w:t>
      </w:r>
      <w:r>
        <w:rPr>
          <w:rFonts w:ascii="Times New Roman" w:hAnsi="Times New Roman" w:cs="Times New Roman"/>
          <w:sz w:val="26"/>
          <w:szCs w:val="26"/>
        </w:rPr>
        <w:t xml:space="preserve">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сопровождению</w:t>
      </w:r>
      <w:r>
        <w:rPr>
          <w:rFonts w:ascii="Times New Roman" w:hAnsi="Times New Roman" w:cs="Times New Roman"/>
          <w:sz w:val="26"/>
          <w:szCs w:val="26"/>
        </w:rPr>
        <w:t xml:space="preserve"> отдельных видов юридических лиц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находящихся в ведомственной подчиненности исполнительных органов Мурманской области и осуществляющих закупки товаров, работ, услуг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Законом № 223-ФЗ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предусмотренной пунктом 2.2.10 Положения о Комитете по конкурентной политике Мурманской области, утвержденного постановлением Правительства Мурманской области от 19.12.2013 № 747-ПП</w:t>
      </w:r>
      <w:r>
        <w:rPr>
          <w:rFonts w:ascii="Times New Roman" w:hAnsi="Times New Roman" w:cs="Times New Roman"/>
          <w:sz w:val="26"/>
          <w:szCs w:val="26"/>
        </w:rPr>
        <w:t xml:space="preserve">, в целях устранения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предупреждения нарушений, допускаемых </w:t>
      </w:r>
      <w:r>
        <w:rPr>
          <w:rFonts w:ascii="Times New Roman" w:hAnsi="Times New Roman" w:cs="Times New Roman"/>
          <w:sz w:val="26"/>
          <w:szCs w:val="26"/>
        </w:rPr>
        <w:t xml:space="preserve">З</w:t>
      </w:r>
      <w:r>
        <w:rPr>
          <w:rFonts w:ascii="Times New Roman" w:hAnsi="Times New Roman" w:cs="Times New Roman"/>
          <w:sz w:val="26"/>
          <w:szCs w:val="26"/>
        </w:rPr>
        <w:t xml:space="preserve">аказчиками при </w:t>
      </w:r>
      <w:r>
        <w:rPr>
          <w:rFonts w:ascii="Times New Roman" w:hAnsi="Times New Roman" w:cs="Times New Roman"/>
          <w:sz w:val="26"/>
          <w:szCs w:val="26"/>
        </w:rPr>
        <w:t xml:space="preserve">размещении необходимых сведений (информации).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tabs>
          <w:tab w:val="left" w:pos="135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Style w:val="888"/>
        <w:tblW w:w="14786" w:type="dxa"/>
        <w:tblLook w:val="04A0" w:firstRow="1" w:lastRow="0" w:firstColumn="1" w:lastColumn="0" w:noHBand="0" w:noVBand="1"/>
      </w:tblPr>
      <w:tblGrid>
        <w:gridCol w:w="635"/>
        <w:gridCol w:w="3017"/>
        <w:gridCol w:w="11134"/>
      </w:tblGrid>
      <w:tr>
        <w:tblPrEx/>
        <w:trPr>
          <w:trHeight w:val="1021"/>
          <w:tblHeader/>
        </w:trPr>
        <w:tc>
          <w:tcPr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30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методических рекомендаций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r>
          </w:p>
        </w:tc>
        <w:tc>
          <w:tcPr>
            <w:tcW w:w="3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  <w:t xml:space="preserve">Общие положения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134" w:type="dxa"/>
            <w:textDirection w:val="lrTb"/>
            <w:noWrap w:val="false"/>
          </w:tcPr>
          <w:p>
            <w:pPr>
              <w:jc w:val="both"/>
              <w:spacing w:before="120" w:after="12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Типовое положение</w:t>
            </w:r>
            <w:r>
              <w:rPr>
                <w:rStyle w:val="894"/>
                <w:rFonts w:ascii="Times New Roman" w:hAnsi="Times New Roman"/>
                <w:bCs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 закупке товаров, работ, услуг государственными бюджетными и автономными учреждениями Мурманской области, государственными унитарными предприятиями Мурманской области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утвержденное приказом Комитета от 01.06.2020 № 90 «Об утверждении Типового положения о закупке товаров, работ, услуг государственными бюджетными учреждениями,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государственными автономными учреждениями, государственными унитарными предприятиями, находящимися в ведомственной подчиненности исполнительных органов государственной власти Мурманской области, осуществляющими закупки товаров, работ, услуг в соответствии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 Федеральным законом от 18.07.2011 № 223-ФЗ «О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закупках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товаров, работ, услуг отдельными видами юридических лиц», является обязательным для применения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указанными 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аказчиками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част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2.1-2.6 статьи 2 Закона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223-ФЗ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  <w:tab w:val="left" w:pos="6195" w:leader="none"/>
                <w:tab w:val="left" w:pos="9781" w:leader="non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Типовым положением о закупке товаров, работ, услуг государственными бюджетными и автономными учреждениями Мурманской области, государственными унитарными предприятиями Мурманской области (далее – Типовое положение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заказчики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) определены способы осуществления 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акупок и условия их применения (раздел 7 Типового положения «Способы закупок, условия применения»).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  <w:tab w:val="left" w:pos="6195" w:leader="none"/>
                <w:tab w:val="left" w:pos="9781" w:leader="non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Подпунктом 6 пункта 7.5 раздела 7 Типового положения предусмотрено, что закупку у единственного поставщика (исполнителя, подрядчика) на торговой площадке «Закупки Мурманской области»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(далее – Торговая площадка)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заказчики осуществляют в случаях, предусмотренных пунктами 10.4-10.6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раздела 10 Типового положения «Закупки у единственного поставщика (исполнителя, подрядчика)».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  <w:tab w:val="left" w:pos="6195" w:leader="none"/>
                <w:tab w:val="left" w:pos="9781" w:leader="none"/>
              </w:tabs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Разделом 9.6 Типового положения «Закупка у единственного поставщика (исполнителя, подрядчика) на торговой площадке «Закупки Мурманской области» определено, что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закупки у единственного поставщика (исполнителя, подрядчика) 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Торговой площадке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осуществляются заказчиками по основаниям вышеуказанных пунктов в соответствии с Регламентом работы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 торговой площадке «Закупки Мурманск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ой области» (далее – Регламент)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trHeight w:val="633"/>
        </w:trPr>
        <w:tc>
          <w:tcPr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r>
          </w:p>
        </w:tc>
        <w:tc>
          <w:tcPr>
            <w:tcW w:w="3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ПОРЯДОК ОСУЩЕСТВЛЕНИЯ ЗАКУПКИ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ТОРГОВОЙ ПЛОЩАДКЕ «ЗАКУПКИ МУРМАНСКОЙ ОБЛАСТИ»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1134" w:type="dxa"/>
            <w:textDirection w:val="lrTb"/>
            <w:noWrap w:val="false"/>
          </w:tcPr>
          <w:p>
            <w:pPr>
              <w:jc w:val="both"/>
              <w:spacing w:before="120"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Регламент устанавливает порядок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действий, выполняемых субъектами системы на Торговой площадке в процессе осуществления заказчиками закупок товаров, работ, услуг у единственного поставщика (исполнителя, подрядчика) в рамках Закона № 223-ФЗ в случаях, установленных положениями о закупке.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осуществления закупки с размещением извещения заказчик формирует извещение о закупке с обязательным составом сведений в закрытой части Торговой площадки.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Извещение о закупке размещается заказчиком на Торговой площадке не менее чем за 2 рабочих дня до даты окончания срока подачи заявок на участие в закупке.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окончании установленного заказчиком срока подачи заявок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заказчик осуществляет рассмотрение поданных заявок в срок, не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евышающий 5 рабочих дней,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определяет победителя по наименьшему ценовому предложению.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Результаты рассмотрения заявок на участие в закупке и определения победителя оформляются протоколом,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размещаемым на Торговой площадке заказчиком не позднее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окончания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срока рассмотрения заявок на участие в закупке.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3 рабочих дней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даты размещения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протокола на Торговой площадке заказчик заключает договор по результатам проведенной закупки (7 рабочих дней для договоров, предусматривающих обеспечительные меры).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осуществлении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закупок по основаниям пунктов 10.4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10.6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Типового положения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аказчик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вправе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 формировать извещение о проведении закупки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случаях, указанных в исключающем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перечн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 Регламенту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</w:tc>
      </w:tr>
      <w:tr>
        <w:tblPrEx/>
        <w:trPr>
          <w:trHeight w:val="1831"/>
        </w:trPr>
        <w:tc>
          <w:tcPr>
            <w:tcW w:w="6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r>
          </w:p>
        </w:tc>
        <w:tc>
          <w:tcPr>
            <w:tcW w:w="301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ИНФОРМАЦИОННОЕ ОБЕСПЕЧЕНИЕ ЗАКУПКИ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НА ТОРГОВОЙ ПЛОЩАДКЕ «ЗАКУПКИ МУРМАНСКОЙ ОБЛАСТИ»</w:t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6"/>
                <w:szCs w:val="26"/>
              </w:rPr>
            </w:r>
          </w:p>
        </w:tc>
        <w:tc>
          <w:tcPr>
            <w:tcW w:w="11134" w:type="dxa"/>
            <w:textDirection w:val="lrTb"/>
            <w:noWrap w:val="false"/>
          </w:tcPr>
          <w:p>
            <w:pPr>
              <w:jc w:val="both"/>
              <w:spacing w:before="120"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Закупки по пунктам 10.4, 10.5,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10.6 с размещением извещения на Торговой площадке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без применения оснований исключающего перечня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both"/>
              <w:spacing w:before="120"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Размещается: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97"/>
              <w:numPr>
                <w:ilvl w:val="0"/>
                <w:numId w:val="2"/>
              </w:numPr>
              <w:jc w:val="both"/>
              <w:spacing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извещение на Торговой площадке;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97"/>
              <w:numPr>
                <w:ilvl w:val="0"/>
                <w:numId w:val="2"/>
              </w:numPr>
              <w:jc w:val="both"/>
              <w:spacing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на Торговой площадке;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97"/>
              <w:numPr>
                <w:ilvl w:val="0"/>
                <w:numId w:val="2"/>
              </w:numPr>
              <w:jc w:val="both"/>
              <w:spacing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договоре (об изменениях договора) в реестр закупок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Торговой площадке.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случае, если начальная (максимальная) цена договора (далее – НМЦД) превышает 100 000 рублей (500 000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если годовая выручка заказчика за отчетный финансовый год составляет более чем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(пять) миллиардов рублей)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заказчик размещает 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единой информационной системе в сфере закупок, на официальном сайте такой системы в информационно-телек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оммуникационной сети «Интернет»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(далее – ЕИС)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исключением случаев, предусмотренных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Законом № 223-ФЗ и принятыми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соответствии с ним нормативными правовыми актами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сведения и документы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согласно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нормам законодательства в сфере закупок отдельными видами юридических лиц (включая требования, установленные к информационному обеспечению закупок у единственного поставщика (исполнителя, подрядчика) пунктом 3.3 раздела 3 «Информационное обеспечен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закупок» Типового положения)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>
          <w:trHeight w:val="842"/>
        </w:trPr>
        <w:tc>
          <w:tcPr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r>
          </w:p>
        </w:tc>
        <w:tc>
          <w:tcPr>
            <w:tcW w:w="30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134" w:type="dxa"/>
            <w:textDirection w:val="lrTb"/>
            <w:noWrap w:val="false"/>
          </w:tcPr>
          <w:p>
            <w:pPr>
              <w:jc w:val="both"/>
              <w:spacing w:before="120"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Закупки по пунктам 10.4, 10.5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10.6 без размещения извещения на Торговой площадке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по основаниям исключающего перечня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both"/>
              <w:spacing w:before="120"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Размещаю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тся: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  <w:p>
            <w:pPr>
              <w:pStyle w:val="897"/>
              <w:numPr>
                <w:ilvl w:val="0"/>
                <w:numId w:val="2"/>
              </w:numPr>
              <w:jc w:val="both"/>
              <w:spacing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договоре (об изменениях договора) в реестр закупок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Торговой площадке.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before="120" w:after="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ВАЖНО!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 размещении сведений о предмете договора не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опускаются формулировки «поставка (закупка) товара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оказание услуг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», «выполнение работ» и т.п.,  указывается фактический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предмет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договора.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both"/>
              <w:spacing w:before="120" w:after="120" w:line="276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случае, если начальная (максимальная) цена договора (далее – НМЦД) превышает 100 000 рублей (500 000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если годовая выручка заказчика за отчетный финансовый год составляет более чем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 (пять) миллиардов рублей)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заказчик размещает в ЕИС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исключением случаев,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предусмотренных Законом № 223-ФЗ и принятыми в соответствии с ним нормативными правовыми актами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сведения и документы согласно нормам законодательства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сфере закупок отдельными видами юридических лиц (включая требования, установленные к информационному обеспечению закупок у единственного поставщика (исполнителя, подрядчика) пунктом 3.3 раздела 3 «Информационное обеспечение закупок» Типового положения)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ВНИМАНИЕ!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Для закупок по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всем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остальным пунктам-основаниям раздела 10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(кроме 10.4 – 10.6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размещение сведений и информации в реестр закупок на Торговой площадке 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  <w:t xml:space="preserve">НЕ ПРЕДУСМОТРЕНО.</w:t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ru-RU"/>
        </w:rPr>
      </w:r>
    </w:p>
    <w:p>
      <w:pPr>
        <w:jc w:val="center"/>
      </w:pPr>
      <w:r>
        <w:t xml:space="preserve">______________________</w:t>
      </w:r>
      <w:r>
        <w:t xml:space="preserve">___________</w:t>
      </w:r>
      <w:r/>
    </w:p>
    <w:sectPr>
      <w:footnotePr/>
      <w:endnotePr/>
      <w:type w:val="nextPage"/>
      <w:pgSz w:w="16838" w:h="11906" w:orient="landscape"/>
      <w:pgMar w:top="851" w:right="1134" w:bottom="709" w:left="1134" w:header="426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5"/>
        <w:jc w:val="both"/>
      </w:pPr>
      <w:r>
        <w:rPr>
          <w:rStyle w:val="89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Методические рекомендации применяются для осуществления закупок в рамках Закона № 223-ФЗ</w:t>
      </w:r>
      <w:r/>
    </w:p>
  </w:footnote>
  <w:footnote w:id="3">
    <w:p>
      <w:pPr>
        <w:pStyle w:val="885"/>
        <w:rPr>
          <w:rFonts w:ascii="Times New Roman" w:hAnsi="Times New Roman" w:cs="Times New Roman"/>
        </w:rPr>
      </w:pPr>
      <w:r>
        <w:rPr>
          <w:rStyle w:val="89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Актуальная редакция Типового положения, обзоры об измене</w:t>
      </w:r>
      <w:r>
        <w:rPr>
          <w:rFonts w:ascii="Times New Roman" w:hAnsi="Times New Roman" w:cs="Times New Roman"/>
        </w:rPr>
        <w:t xml:space="preserve">ниях Типового положения размещаю</w:t>
      </w:r>
      <w:r>
        <w:rPr>
          <w:rFonts w:ascii="Times New Roman" w:hAnsi="Times New Roman" w:cs="Times New Roman"/>
        </w:rPr>
        <w:t xml:space="preserve">тся на официальном сайте Комитета https://goszakaz.gov-murman.ru/ в разделе «Документы» - «Документы 223-ФЗ» - «</w:t>
      </w:r>
      <w:r>
        <w:rPr>
          <w:rFonts w:ascii="Times New Roman" w:hAnsi="Times New Roman" w:cs="Times New Roman"/>
        </w:rPr>
        <w:t xml:space="preserve">Типовое положение и </w:t>
      </w:r>
      <w:r>
        <w:rPr>
          <w:rFonts w:ascii="Times New Roman" w:hAnsi="Times New Roman" w:cs="Times New Roman"/>
        </w:rPr>
        <w:t xml:space="preserve">Типовые формы».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0583234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0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79"/>
    <w:next w:val="879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0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0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0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0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0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0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9"/>
    <w:next w:val="87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0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79"/>
    <w:next w:val="879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0"/>
    <w:link w:val="727"/>
    <w:uiPriority w:val="10"/>
    <w:rPr>
      <w:sz w:val="48"/>
      <w:szCs w:val="48"/>
    </w:rPr>
  </w:style>
  <w:style w:type="paragraph" w:styleId="729">
    <w:name w:val="Subtitle"/>
    <w:basedOn w:val="879"/>
    <w:next w:val="879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0"/>
    <w:link w:val="729"/>
    <w:uiPriority w:val="11"/>
    <w:rPr>
      <w:sz w:val="24"/>
      <w:szCs w:val="24"/>
    </w:rPr>
  </w:style>
  <w:style w:type="paragraph" w:styleId="731">
    <w:name w:val="Quote"/>
    <w:basedOn w:val="879"/>
    <w:next w:val="879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79"/>
    <w:next w:val="879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0"/>
    <w:link w:val="889"/>
    <w:uiPriority w:val="99"/>
  </w:style>
  <w:style w:type="character" w:styleId="736">
    <w:name w:val="Footer Char"/>
    <w:basedOn w:val="880"/>
    <w:link w:val="891"/>
    <w:uiPriority w:val="99"/>
  </w:style>
  <w:style w:type="paragraph" w:styleId="737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91"/>
    <w:uiPriority w:val="99"/>
  </w:style>
  <w:style w:type="table" w:styleId="739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Footnote Text Char"/>
    <w:link w:val="885"/>
    <w:uiPriority w:val="99"/>
    <w:rPr>
      <w:sz w:val="18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0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160" w:line="259" w:lineRule="auto"/>
    </w:p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 w:customStyle="1">
    <w:name w:val="ConsPlusNormal"/>
    <w:link w:val="884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4" w:customStyle="1">
    <w:name w:val="ConsPlusNormal Знак"/>
    <w:link w:val="883"/>
    <w:rPr>
      <w:rFonts w:ascii="Arial" w:hAnsi="Arial" w:eastAsia="Times New Roman" w:cs="Arial"/>
      <w:sz w:val="20"/>
      <w:szCs w:val="20"/>
      <w:lang w:eastAsia="ru-RU"/>
    </w:rPr>
  </w:style>
  <w:style w:type="paragraph" w:styleId="885">
    <w:name w:val="footnote text"/>
    <w:basedOn w:val="879"/>
    <w:link w:val="887"/>
    <w:pPr>
      <w:spacing w:after="0" w:line="240" w:lineRule="auto"/>
    </w:pPr>
    <w:rPr>
      <w:rFonts w:ascii="Calibri" w:hAnsi="Calibri" w:eastAsia="Times New Roman" w:cs="Calibri"/>
      <w:sz w:val="20"/>
      <w:szCs w:val="20"/>
      <w:lang w:eastAsia="ar-SA"/>
    </w:rPr>
  </w:style>
  <w:style w:type="character" w:styleId="886" w:customStyle="1">
    <w:name w:val="Текст сноски Знак"/>
    <w:basedOn w:val="880"/>
    <w:uiPriority w:val="99"/>
    <w:semiHidden/>
    <w:rPr>
      <w:sz w:val="20"/>
      <w:szCs w:val="20"/>
    </w:rPr>
  </w:style>
  <w:style w:type="character" w:styleId="887" w:customStyle="1">
    <w:name w:val="Текст сноски Знак1"/>
    <w:basedOn w:val="880"/>
    <w:link w:val="885"/>
    <w:rPr>
      <w:rFonts w:ascii="Calibri" w:hAnsi="Calibri" w:eastAsia="Times New Roman" w:cs="Calibri"/>
      <w:sz w:val="20"/>
      <w:szCs w:val="20"/>
      <w:lang w:eastAsia="ar-SA"/>
    </w:rPr>
  </w:style>
  <w:style w:type="table" w:styleId="888">
    <w:name w:val="Table Grid"/>
    <w:basedOn w:val="88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9">
    <w:name w:val="Header"/>
    <w:basedOn w:val="879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880"/>
    <w:link w:val="889"/>
    <w:uiPriority w:val="99"/>
  </w:style>
  <w:style w:type="paragraph" w:styleId="891">
    <w:name w:val="Footer"/>
    <w:basedOn w:val="879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880"/>
    <w:link w:val="891"/>
    <w:uiPriority w:val="99"/>
  </w:style>
  <w:style w:type="character" w:styleId="893">
    <w:name w:val="Hyperlink"/>
    <w:basedOn w:val="880"/>
    <w:uiPriority w:val="99"/>
    <w:unhideWhenUsed/>
    <w:rPr>
      <w:color w:val="0000ff" w:themeColor="hyperlink"/>
      <w:u w:val="single"/>
    </w:rPr>
  </w:style>
  <w:style w:type="character" w:styleId="894">
    <w:name w:val="footnote reference"/>
    <w:basedOn w:val="880"/>
    <w:uiPriority w:val="99"/>
    <w:semiHidden/>
    <w:unhideWhenUsed/>
    <w:rPr>
      <w:vertAlign w:val="superscript"/>
    </w:rPr>
  </w:style>
  <w:style w:type="paragraph" w:styleId="895">
    <w:name w:val="Balloon Text"/>
    <w:basedOn w:val="879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0"/>
    <w:link w:val="895"/>
    <w:uiPriority w:val="99"/>
    <w:semiHidden/>
    <w:rPr>
      <w:rFonts w:ascii="Tahoma" w:hAnsi="Tahoma" w:cs="Tahoma"/>
      <w:sz w:val="16"/>
      <w:szCs w:val="16"/>
    </w:rPr>
  </w:style>
  <w:style w:type="paragraph" w:styleId="897">
    <w:name w:val="List Paragraph"/>
    <w:basedOn w:val="8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7A27-A7B0-4630-AEEB-0C495972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Клишина О.В.</dc:creator>
  <cp:revision>9</cp:revision>
  <dcterms:created xsi:type="dcterms:W3CDTF">2024-02-05T06:56:00Z</dcterms:created>
  <dcterms:modified xsi:type="dcterms:W3CDTF">2025-01-14T12:12:05Z</dcterms:modified>
</cp:coreProperties>
</file>