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Приложение 5</w:t>
      </w:r>
      <w:r>
        <w:rPr>
          <w:sz w:val="20"/>
          <w:szCs w:val="20"/>
        </w:rPr>
        <w:br w:type="textWrapping" w:clear="all"/>
        <w:t xml:space="preserve">к приказу Комитета</w:t>
      </w:r>
      <w:r>
        <w:rPr>
          <w:sz w:val="20"/>
          <w:szCs w:val="20"/>
        </w:rPr>
        <w:br w:type="textWrapping" w:clear="all"/>
        <w:t xml:space="preserve">по конкурентной политике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Мурманской области</w:t>
      </w:r>
      <w:r>
        <w:rPr>
          <w:sz w:val="20"/>
          <w:szCs w:val="20"/>
        </w:rPr>
        <w:br w:type="textWrapping" w:clear="all"/>
        <w:t xml:space="preserve">от 23.12.2022 № 173</w:t>
      </w:r>
      <w:r>
        <w:rPr>
          <w:sz w:val="20"/>
          <w:szCs w:val="20"/>
        </w:rPr>
        <w:br w:type="textWrapping" w:clear="all"/>
      </w:r>
      <w:r>
        <w:rPr>
          <w:sz w:val="20"/>
          <w:szCs w:val="20"/>
        </w:rPr>
        <w:t xml:space="preserve">(в ред. от 11.08.25 № 58)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r/>
      <w:r/>
    </w:p>
    <w:p>
      <w:r/>
      <w:r/>
    </w:p>
    <w:tbl>
      <w:tblPr>
        <w:tblpPr w:horzAnchor="margin" w:tblpXSpec="left" w:vertAnchor="margin" w:tblpY="2249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4786"/>
        <w:gridCol w:w="5352"/>
      </w:tblGrid>
      <w:tr>
        <w:tblPrEx/>
        <w:trPr>
          <w:trHeight w:val="28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textDirection w:val="lrTb"/>
            <w:noWrap w:val="false"/>
          </w:tcPr>
          <w:p>
            <w:pPr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               У Т В Е Р Ж Д А Ю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Заказчик: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_________________________ 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«_____» ______________202_ г.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52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 Т В Е Р Ж Д А Ю</w:t>
            </w:r>
            <w:r>
              <w:rPr>
                <w:rStyle w:val="901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Организатор закупки: ГАУМО «Региональный центр по организации закупок» (ГАУМО «РЦОЗ»)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jc w:val="bot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jc w:val="bot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_____________ (_______________)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  </w:t>
            </w:r>
            <w:r>
              <w:rPr>
                <w:sz w:val="20"/>
                <w:szCs w:val="20"/>
              </w:rPr>
              <w:t xml:space="preserve">«_____» ______________202_г.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spacing w:line="276" w:lineRule="auto"/>
        <w:widowControl w:val="off"/>
        <w:rPr>
          <w:b/>
        </w:rPr>
      </w:pPr>
      <w:r>
        <w:rPr>
          <w:b/>
        </w:rPr>
        <w:t xml:space="preserve">ИЗВЕЩЕНИЕ О ПРОВЕДЕНИИ</w:t>
      </w:r>
      <w:r>
        <w:rPr>
          <w:b/>
        </w:rPr>
      </w:r>
      <w:r>
        <w:rPr>
          <w:b/>
        </w:rPr>
      </w:r>
    </w:p>
    <w:p>
      <w:pPr>
        <w:jc w:val="center"/>
        <w:spacing w:line="276" w:lineRule="auto"/>
        <w:widowControl w:val="off"/>
        <w:rPr>
          <w:b/>
          <w:sz w:val="20"/>
          <w:szCs w:val="20"/>
        </w:rPr>
      </w:pPr>
      <w:r>
        <w:rPr>
          <w:b/>
        </w:rPr>
        <w:t xml:space="preserve">КОНКУРСА В ЭЛЕКТРОННОЙ ФОРМЕ, УЧАСТНИКАМИ КОТОРОГО МОГУТ БЫТЬ ТОЛЬКО СУБЪЕКТЫ МАЛОГО И СРЕДНЕГО ПРЕДПРИНИМАТЕЛЬСТВА</w:t>
      </w:r>
      <w:r>
        <w:rPr>
          <w:rStyle w:val="901"/>
          <w:b/>
          <w:sz w:val="20"/>
          <w:szCs w:val="20"/>
        </w:rPr>
        <w:footnoteReference w:id="3"/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center"/>
        <w:spacing w:line="276" w:lineRule="auto"/>
        <w:rPr>
          <w:b/>
          <w:color w:val="1f497d"/>
          <w:sz w:val="22"/>
          <w:szCs w:val="22"/>
        </w:rPr>
      </w:pPr>
      <w:r>
        <w:rPr>
          <w:b/>
          <w:color w:val="1f497d"/>
          <w:sz w:val="22"/>
          <w:szCs w:val="22"/>
        </w:rPr>
        <w:t xml:space="preserve">Предмет закупки: _____________________________________________________________</w:t>
      </w:r>
      <w:r>
        <w:rPr>
          <w:b/>
          <w:color w:val="1f497d"/>
          <w:sz w:val="22"/>
          <w:szCs w:val="22"/>
        </w:rPr>
      </w:r>
      <w:r>
        <w:rPr>
          <w:b/>
          <w:color w:val="1f497d"/>
          <w:sz w:val="22"/>
          <w:szCs w:val="22"/>
        </w:rPr>
      </w:r>
    </w:p>
    <w:p>
      <w:pPr>
        <w:spacing w:line="276" w:lineRule="auto"/>
        <w:rPr>
          <w:color w:val="548dd4"/>
          <w:sz w:val="22"/>
          <w:szCs w:val="22"/>
        </w:rPr>
      </w:pPr>
      <w:r>
        <w:rPr>
          <w:color w:val="548dd4"/>
          <w:sz w:val="22"/>
          <w:szCs w:val="22"/>
        </w:rPr>
      </w:r>
      <w:r>
        <w:rPr>
          <w:color w:val="548dd4"/>
          <w:sz w:val="22"/>
          <w:szCs w:val="22"/>
        </w:rPr>
      </w:r>
      <w:r>
        <w:rPr>
          <w:color w:val="548dd4"/>
          <w:sz w:val="22"/>
          <w:szCs w:val="22"/>
        </w:rPr>
      </w:r>
    </w:p>
    <w:p>
      <w:pPr>
        <w:spacing w:line="276" w:lineRule="auto"/>
        <w:rPr>
          <w:color w:val="548dd4"/>
          <w:sz w:val="20"/>
          <w:szCs w:val="20"/>
        </w:rPr>
      </w:pP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</w:p>
    <w:p>
      <w:pPr>
        <w:spacing w:line="276" w:lineRule="auto"/>
        <w:rPr>
          <w:color w:val="548dd4"/>
          <w:sz w:val="20"/>
          <w:szCs w:val="20"/>
        </w:rPr>
      </w:pP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17" w:type="pct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3827"/>
        <w:gridCol w:w="2976"/>
      </w:tblGrid>
      <w:tr>
        <w:tblPrEx/>
        <w:trPr>
          <w:trHeight w:val="762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pStyle w:val="92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92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textDirection w:val="lrTb"/>
            <w:noWrap w:val="false"/>
          </w:tcPr>
          <w:p>
            <w:pPr>
              <w:pStyle w:val="921"/>
              <w:ind w:firstLine="317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pStyle w:val="92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pStyle w:val="921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Способ осуществления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Конкурс в электронной форме,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участниками которого могут быть только субъекты малого и среднего предпринимательства (далее – конкурс в электронной форме)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3"/>
        </w:trPr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pStyle w:val="921"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spacing w:before="120" w:after="120"/>
              <w:tabs>
                <w:tab w:val="left" w:pos="1080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keepNext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keepNext/>
              <w:spacing w:before="120" w:after="120"/>
              <w:widowControl w:val="off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_______________________________________________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07"/>
        </w:trPr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pStyle w:val="92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Наименование, место нахождения, почтовый адрес, адрес электронной почты, номер </w:t>
            </w:r>
            <w:r>
              <w:rPr>
                <w:b/>
                <w:sz w:val="20"/>
                <w:szCs w:val="20"/>
                <w:lang w:val="sr-Cyrl-CS"/>
              </w:rPr>
              <w:t xml:space="preserve">контактного</w:t>
            </w:r>
            <w:r>
              <w:rPr>
                <w:b/>
                <w:sz w:val="20"/>
                <w:szCs w:val="20"/>
              </w:rPr>
              <w:t xml:space="preserve"> телефона специализированной (уполномоченной) организации (далее – организатор закупки)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ind w:left="-16" w:firstLine="16"/>
              <w:jc w:val="both"/>
              <w:keepNext/>
              <w:spacing w:before="120" w:after="120"/>
              <w:shd w:val="clear" w:color="auto" w:fill="ffffff"/>
              <w:widowControl w:val="off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при проведении закупки с привлечением  специализированной (уполномоченной) организации: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left="-16" w:firstLine="1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Место нахождения:</w:t>
            </w:r>
            <w:r>
              <w:rPr>
                <w:sz w:val="20"/>
                <w:szCs w:val="20"/>
              </w:rPr>
              <w:t xml:space="preserve">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адрес:</w:t>
            </w:r>
            <w:r>
              <w:rPr>
                <w:sz w:val="20"/>
                <w:szCs w:val="20"/>
              </w:rPr>
              <w:t xml:space="preserve"> 183038,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color w:val="1f497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Контактное лицо:</w:t>
            </w:r>
            <w:r>
              <w:rPr>
                <w:b/>
                <w:color w:val="8496b0"/>
                <w:sz w:val="20"/>
                <w:szCs w:val="20"/>
              </w:rPr>
              <w:t xml:space="preserve"> </w:t>
            </w:r>
            <w:r>
              <w:rPr>
                <w:bCs/>
                <w:color w:val="1f497d"/>
                <w:sz w:val="20"/>
                <w:szCs w:val="20"/>
              </w:rPr>
              <w:t xml:space="preserve">______________________________</w:t>
            </w:r>
            <w:r>
              <w:rPr>
                <w:bCs/>
                <w:color w:val="1f497d"/>
                <w:sz w:val="20"/>
                <w:szCs w:val="20"/>
              </w:rPr>
            </w:r>
            <w:r>
              <w:rPr>
                <w:bCs/>
                <w:color w:val="1f497d"/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Контактный телефон:</w:t>
            </w:r>
            <w:r>
              <w:rPr>
                <w:sz w:val="20"/>
                <w:szCs w:val="20"/>
              </w:rPr>
              <w:t xml:space="preserve"> 8 (8152) 75-00-35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Адрес электронной почты (е-</w:t>
            </w:r>
            <w:r>
              <w:rPr>
                <w:b/>
                <w:sz w:val="20"/>
                <w:szCs w:val="20"/>
                <w:lang w:val="en-US"/>
              </w:rPr>
              <w:t xml:space="preserve">mail</w:t>
            </w:r>
            <w:r>
              <w:rPr>
                <w:b/>
                <w:sz w:val="20"/>
                <w:szCs w:val="20"/>
              </w:rPr>
              <w:t xml:space="preserve">): </w:t>
            </w:r>
            <w:hyperlink r:id="rId10" w:tooltip="mailto:gaumo.rcoz@mail.ru" w:history="1"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gaumo</w:t>
              </w:r>
              <w:r>
                <w:rPr>
                  <w:bCs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rcoz</w:t>
              </w:r>
              <w:r>
                <w:rPr>
                  <w:bCs/>
                  <w:color w:val="0000ff"/>
                  <w:sz w:val="20"/>
                  <w:szCs w:val="20"/>
                  <w:u w:val="single"/>
                </w:rPr>
                <w:t xml:space="preserve">@</w:t>
              </w:r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mail</w:t>
              </w:r>
              <w:r>
                <w:rPr>
                  <w:bCs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ru</w:t>
              </w:r>
            </w:hyperlink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pStyle w:val="92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pStyle w:val="921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договора: ______________________________________________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услуги:____________________________________________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соответствии с таблицей 1 «Количество товара, объем работ, услуг» (приложение к разделу 1 «Информационная карта» документации о проведении конкурса в электронной форме).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Описание предмета закупки</w:t>
            </w:r>
            <w:r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о проведении конкурса в электронной форме (см. отдельный файл «Разделы 2-6 документации о проведении конкурса в электронной форме»).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9"/>
        </w:trPr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pStyle w:val="92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Место </w:t>
            </w:r>
            <w:r>
              <w:rPr>
                <w:b/>
                <w:sz w:val="20"/>
                <w:szCs w:val="20"/>
              </w:rPr>
              <w:t xml:space="preserve">поставки товара,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выполнения работы, оказания услуги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/>
              <w:rPr>
                <w:b/>
                <w:bCs/>
                <w:color w:val="1f497d"/>
                <w:sz w:val="20"/>
                <w:szCs w:val="20"/>
              </w:rPr>
            </w:pPr>
            <w:r>
              <w:rPr>
                <w:b/>
                <w:bCs/>
                <w:color w:val="1f497d"/>
                <w:sz w:val="20"/>
                <w:szCs w:val="20"/>
              </w:rPr>
            </w:r>
            <w:r>
              <w:rPr>
                <w:b/>
                <w:bCs/>
                <w:color w:val="1f497d"/>
                <w:sz w:val="20"/>
                <w:szCs w:val="20"/>
              </w:rPr>
            </w:r>
            <w:r>
              <w:rPr>
                <w:b/>
                <w:bCs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____________________________________________________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46"/>
        </w:trPr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Сведения о начальной (максимальной) цене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Формула цены, устанавливающая правила расчета сумм, подлежащих уплате Заказчиком поставщику (исполнителю, подрядчику) в ходе исполнения договора и максимальное значение цены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Цена единицы товара, работы, услуги и максимальное значение цены договора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_______________________руб. 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Указывается в соответствии с протоколом обоснования НМЦД (раздел 5 документации о проведении конкурса в электронной форме «Обоснование НМЦД»)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851" w:leader="none"/>
              </w:tabs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Сведения о начальной (максимальной) цене договора, либо формула цены договора и максимальное значение цены договора, либо начальная цена единицы товара, работы, услуги, а также начальная сумма цен указанных единиц (ИТОГО</w:t>
            </w:r>
            <w:r>
              <w:rPr>
                <w:color w:val="1f497d"/>
                <w:sz w:val="20"/>
                <w:szCs w:val="20"/>
              </w:rPr>
              <w:t xml:space="preserve">) содержатся  в таблице 1 «Количество товара, объем работ, услуг» (приложение к разделу 1 «Информационная карта» документации о проведении конкурса в электронной форме), в разделе 6 документации о проведении конкурса в электронной форме «Обоснование НМЦД»)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85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Срок, место и порядок предоставления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документации о закупке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размещена на официальном сайте единой информационной системе в сфере закупок товаров, работ, услуг (</w:t>
            </w:r>
            <w:hyperlink r:id="rId11" w:tooltip="http://www.zakupki.gov.ru/" w:history="1">
              <w:r>
                <w:rPr>
                  <w:rStyle w:val="898"/>
                  <w:color w:val="000000"/>
                  <w:sz w:val="20"/>
                  <w:szCs w:val="20"/>
                </w:rPr>
                <w:t xml:space="preserve">www.zakupki.gov.ru</w:t>
              </w:r>
            </w:hyperlink>
            <w:r>
              <w:rPr>
                <w:sz w:val="20"/>
                <w:szCs w:val="20"/>
              </w:rPr>
              <w:t xml:space="preserve">) (далее – официальный сайт ЕИС) и на электронной </w:t>
            </w:r>
            <w:r>
              <w:rPr>
                <w:sz w:val="20"/>
                <w:szCs w:val="20"/>
              </w:rPr>
              <w:t xml:space="preserve">площадке </w:t>
            </w:r>
            <w:r>
              <w:rPr>
                <w:color w:val="1f497d"/>
                <w:sz w:val="20"/>
                <w:szCs w:val="20"/>
              </w:rPr>
              <w:t xml:space="preserve">_______________________ https://________________</w:t>
            </w:r>
            <w:r>
              <w:rPr>
                <w:sz w:val="20"/>
                <w:szCs w:val="20"/>
              </w:rPr>
              <w:t xml:space="preserve"> (далее – ЭП).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доступна для ознакомления на официальном сайте  ЕИС и на ЭП без взимания платы с момента ее опубликования без ограничений.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документации о закупке на бумажном носителе не предусмотрено.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Порядок, дата начала, дата и время окончания срока подачи заявок на участие в закупке (этапах конкурентной закупки) и порядок подведения итогов конкурентной закупки (этапов конкурентной закупки)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8.1. Порядок подачи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Заявки на участие в конкурсе в электронной форме представляются по форме, в порядке, в месте и до истечения срока, указанного в конкурсной документации.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Заявка на участие в конкурсе в электронной форме должна содержать сведения, установленные документацией о закупке.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Заявка на участие в конкурсе в электронной фор</w:t>
            </w:r>
            <w:r>
              <w:rPr>
                <w:sz w:val="20"/>
                <w:szCs w:val="20"/>
              </w:rPr>
              <w:t xml:space="preserve">ме состоит из двух частей и предложения участника конкурса в электронной форме о цене договора. Обе части заявки на участие в конкурсе в электронной форме и ценовое предложение направляется участником конкурса в электронной форме оператору ЭП одновременно.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Требования к форме заявки на участие в конкурсе в электронной форме устанавливаются в конкурсной документации.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Заявка на участие в конкурсе в электронной форме, докум</w:t>
            </w:r>
            <w:r>
              <w:rPr>
                <w:sz w:val="20"/>
                <w:szCs w:val="20"/>
              </w:rPr>
              <w:t xml:space="preserve">енты и информация, направляемые в форме электронных документов участником конкурса в электронной форме, должны быть подписаны усиленной квалифицированной электронной подписью лица, имеющего право действовать от имени участника конкурса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Участник конкурса в электронной форме вправе подать только одну заявку на участие в конкурсе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Участник конкурса в электронной форме, по</w:t>
            </w:r>
            <w:r>
              <w:rPr>
                <w:sz w:val="20"/>
                <w:szCs w:val="20"/>
              </w:rPr>
              <w:t xml:space="preserve">давший заявку на участие в конкурсе в электронной форме,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форме, направив об этом уведомление оператору ЭП.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Оператор ЭП присваивает каждой заявке</w:t>
            </w:r>
            <w:r>
              <w:rPr>
                <w:sz w:val="20"/>
                <w:szCs w:val="20"/>
              </w:rPr>
              <w:t xml:space="preserve"> на участие в конкурсе в электронной форме порядковый номер и подтверждает в форме электронного документа, направляемого участнику конкурса в электронной форме, подавшему данную заявку, ее получение с указанием присвоенного такой заявке порядкового номера.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Оператор ЭП возвращает заявку на участие в конкурсе в электронной форме подавшему ее участнику в случае: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подачи данной заявки с нарушением требований, предусмотренных пунктом 5 раздела 8 извещения;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подачи одним участником конкурса в электронной форме двух и более заявок на участие в нем при условии, что поданные ранее заявки этим участником не отозваны;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получения данной заявки после даты или времени окончания срока подачи заявок на участие в конкурсе в электронной форме;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пода</w:t>
            </w:r>
            <w:r>
              <w:rPr>
                <w:sz w:val="20"/>
                <w:szCs w:val="20"/>
              </w:rPr>
              <w:t xml:space="preserve">чи участником закупки заявки, содержащей предложение о цене договора, превышающее НМЦД или равное нулю. Заявки на участие в конкурсе в электронной форме представляются по форме, в порядке, в месте и до истечения срока, указанного в конкурсной документации.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8.2. Сроки начала и окончания подачи, рассмотрения, оценки  заявок на участие в конкурсе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начала срока подачи заявок на участие в конкурсе в электронной </w:t>
            </w:r>
            <w:r>
              <w:rPr>
                <w:b/>
                <w:sz w:val="20"/>
                <w:szCs w:val="20"/>
              </w:rPr>
              <w:t xml:space="preserve">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 «___» 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подачи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Время окончания срока подачи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548dd4"/>
                <w:sz w:val="20"/>
                <w:szCs w:val="20"/>
              </w:rPr>
            </w:pPr>
            <w:r>
              <w:rPr>
                <w:b/>
                <w:color w:val="548dd4"/>
                <w:sz w:val="20"/>
                <w:szCs w:val="20"/>
              </w:rPr>
              <w:t xml:space="preserve">__________________ </w:t>
            </w:r>
            <w:r>
              <w:rPr>
                <w:b/>
                <w:sz w:val="20"/>
                <w:szCs w:val="20"/>
              </w:rPr>
              <w:t xml:space="preserve">(по московскому времени)</w:t>
            </w:r>
            <w:r>
              <w:rPr>
                <w:b/>
                <w:color w:val="548dd4"/>
                <w:sz w:val="20"/>
                <w:szCs w:val="20"/>
              </w:rPr>
            </w:r>
            <w:r>
              <w:rPr>
                <w:b/>
                <w:color w:val="548dd4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первых частей заявок на участие в конкурсе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548dd4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«__» _____________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вторых частей заявок на участие в конкурсе в электронной форме, дата оценки заявок на участие в конкурсе в электронной форме,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подведения итогов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3462" w:leader="none"/>
              </w:tabs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______________ 202_ года</w:t>
            </w:r>
            <w:r/>
          </w:p>
          <w:p>
            <w:pPr>
              <w:jc w:val="both"/>
              <w:spacing w:before="24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8.3. Порядок подведения итогов конкурса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В течение 1 (одного) рабочего дня после направления оператором элек</w:t>
            </w:r>
            <w:r>
              <w:rPr>
                <w:sz w:val="20"/>
                <w:szCs w:val="20"/>
              </w:rPr>
              <w:t xml:space="preserve">тронной площадки информации, указанной в пункте 3 части 22 статьи 3.4 Федерального  закона от 18.07.2011 № 223-ФЗ «О закупках товаров, работ, услуг  (далее – Закон № 223-ФЗ), закупочная комиссия Заказчика (далее - Комиссия) на основании результатов оценки </w:t>
            </w:r>
            <w:r>
              <w:rPr>
                <w:sz w:val="20"/>
                <w:szCs w:val="20"/>
              </w:rPr>
              <w:t xml:space="preserve">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Заявке на участие в конкурсе в электронной форме, в которых содержатся лучшие условия</w:t>
            </w:r>
            <w:r>
              <w:rPr>
                <w:sz w:val="20"/>
                <w:szCs w:val="20"/>
              </w:rPr>
              <w:t xml:space="preserve"> исполнения договора, присваивается первый номер. В случае, если в нескольких таких заявках содержатся одинаковые по степени выгодности условия исполнения договора, меньший порядковый номер присваивается заявке, которая поступила ранее других таких заявок.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Результаты рассмотрения вторых частей заявок на участие в конкурсе в электронной фор</w:t>
            </w:r>
            <w:r>
              <w:rPr>
                <w:sz w:val="20"/>
                <w:szCs w:val="20"/>
              </w:rPr>
              <w:t xml:space="preserve">ме вносятся в протокол рассмотрения вторых частей заявок на участие в конкурсе в электронной форме, который содержит сведения,  предусмотренные частью 13 статьи 3.2 Закона № 223-ФЗ, подписывается всеми членами Комиссии и размещается Заказчиком на ЭП и ЕИС.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Резу</w:t>
            </w:r>
            <w:r>
              <w:rPr>
                <w:sz w:val="20"/>
                <w:szCs w:val="20"/>
              </w:rPr>
              <w:t xml:space="preserve">льтаты оценки заявок, подведения итогов вносятся в итоговый протокол конкурса в электронной форме,  который содержит сведения,  предусмотренные частью 14 статьи 3.2 Закона № 223-ФЗ, подписывается всеми членами Комиссии и размещается Заказчиком на ЭП и ЕИС.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по результата</w:t>
            </w:r>
            <w:r>
              <w:rPr>
                <w:sz w:val="20"/>
                <w:szCs w:val="20"/>
              </w:rPr>
              <w:t xml:space="preserve">м конкурентной закупки с участием субъектов малого и среднего предпринимательства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</w:t>
            </w:r>
            <w:r>
              <w:rPr>
                <w:sz w:val="20"/>
                <w:szCs w:val="20"/>
              </w:rPr>
              <w:t xml:space="preserve">твенно участника такой конкурентной закупки, заказчика. 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</w:t>
            </w:r>
            <w:r>
              <w:rPr>
                <w:sz w:val="20"/>
                <w:szCs w:val="20"/>
              </w:rPr>
              <w:t xml:space="preserve">им извещению, документации о конкурентной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</w:t>
            </w:r>
            <w:r>
              <w:rPr>
                <w:sz w:val="20"/>
                <w:szCs w:val="20"/>
              </w:rPr>
              <w:t xml:space="preserve">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по результатам конкурентной закупки с участием субъектов </w:t>
            </w:r>
            <w:r>
              <w:rPr>
                <w:sz w:val="20"/>
                <w:szCs w:val="20"/>
              </w:rPr>
              <w:t xml:space="preserve">малого и среднего предпринимательства заключается на условиях, которые предусмотрены проектом договора, документацией о конкурентной закупке, извещением об осуществлении конкурентной закупки и заявкой участника такой закупки, с которым заключается договор.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Срок направления оператором электронной площадки вторых частей заявок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color w:val="0070c0"/>
                <w:lang w:eastAsia="ar-SA"/>
              </w:rPr>
            </w:pP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«___» ____________ 202_ года  в _______</w:t>
            </w: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(по московскому времени)</w:t>
            </w:r>
            <w:r>
              <w:rPr>
                <w:color w:val="0070c0"/>
                <w:lang w:eastAsia="ar-SA"/>
              </w:rPr>
            </w:r>
            <w:r>
              <w:rPr>
                <w:color w:val="0070c0"/>
                <w:lang w:eastAsia="ar-S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заявки на участие в закупке, порядок и срок его предоставления (в случае установления требования обеспечения заявки на участие в закупке)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 руб. (в случае установления требования обеспечения заявок на участие в конкурсе в электронной форме указывается размер, порядок и срок его предоставления).*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*(размер такого обеспечения не может превышать 2 % НМЦД.  При этом такое обеспечение может предоставляться участником закупки по его выбору путем внесения денежных средств или путем предоставления независимой гарантии)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независимой гарантии, предоставляемой в качестве обеспечения заявки на участие в закупке установлены разделом 23 Информационной карты документации о проведении конкурса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в размере ______ % НМЦД, (_____________________ руб.) *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Основное обязательство, исполнение которого обеспечивается, и срок его исполнения:_________________________________________.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(размер такого обеспечения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не может превышать 5 % НМЦД, если договором не предусмотрена выплата аванса, либо устанавливается в размере аванса, если</w:t>
            </w:r>
            <w:r>
              <w:rPr>
                <w:sz w:val="20"/>
                <w:szCs w:val="20"/>
              </w:rPr>
              <w:t xml:space="preserve"> договором предусмотрена выплата аванса. При этом такое обеспечение может предоставляться участником закупки по его выбору путем внесения денежных средств на счет, указанный Заказчиком в документации о закупке или путем предоставления независимой гарантии.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Адрес электронной площадки в информационно-телекоммуникационной сети «Интернет»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https:// 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Особенности участия субъектов малого и среднего предпринимательства в закупке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Установлены  ограничения участия в конкурсе в электронной форме:</w:t>
            </w:r>
            <w:r>
              <w:rPr>
                <w:sz w:val="20"/>
                <w:szCs w:val="20"/>
              </w:rPr>
              <w:t xml:space="preserve">  закупка проводится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</w:t>
            </w:r>
            <w:r>
              <w:rPr>
                <w:sz w:val="20"/>
                <w:szCs w:val="20"/>
              </w:rPr>
              <w:t xml:space="preserve">х закупок и порядке расчета указанного объема» утвержденным постановлением Правительства РФ от 11.12.2014  № 1352 «Об особенностях участия субъектов малого и среднего предпринимательства в закупках товаров, работ, услуг отдельными видами юридических лиц»: </w:t>
            </w:r>
            <w:r>
              <w:rPr>
                <w:b/>
                <w:sz w:val="20"/>
                <w:szCs w:val="20"/>
              </w:rPr>
              <w:t xml:space="preserve">участниками могут только субъекты малого и среднего предпринимательства.</w:t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53"/>
        </w:trPr>
        <w:tc>
          <w:tcPr>
            <w:shd w:val="clear" w:color="auto" w:fill="ffffff"/>
            <w:tcW w:w="534" w:type="dxa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Merge w:val="restart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</w:t>
            </w:r>
            <w:r>
              <w:rPr>
                <w:b/>
                <w:bCs/>
                <w:sz w:val="20"/>
                <w:szCs w:val="20"/>
              </w:rPr>
              <w:t xml:space="preserve">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мера, установленная Правительством РФ в соответствии с пунктом 1  части 2 статьи 3.1-4 Закона № 223-ФЗ в отношении товара, работы, услуги, являющихся предметом закупки: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59"/>
        </w:trPr>
        <w:tc>
          <w:tcPr>
            <w:shd w:val="clear" w:color="auto" w:fill="ffffff"/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Merge w:val="continue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14.1 </w:t>
            </w:r>
            <w:r>
              <w:rPr>
                <w:b/>
                <w:bCs/>
                <w:sz w:val="20"/>
                <w:szCs w:val="20"/>
              </w:rPr>
              <w:t xml:space="preserve">запр</w:t>
            </w:r>
            <w:r>
              <w:rPr>
                <w:b/>
                <w:sz w:val="20"/>
                <w:szCs w:val="20"/>
              </w:rPr>
              <w:t xml:space="preserve">ет</w:t>
            </w:r>
            <w:r>
              <w:rPr>
                <w:sz w:val="20"/>
                <w:szCs w:val="20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(установлен/не установлен)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59"/>
        </w:trPr>
        <w:tc>
          <w:tcPr>
            <w:shd w:val="clear" w:color="auto" w:fill="ffffff"/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Merge w:val="continue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14.2 </w:t>
            </w:r>
            <w:r>
              <w:rPr>
                <w:b/>
                <w:bCs/>
                <w:sz w:val="20"/>
                <w:szCs w:val="20"/>
              </w:rPr>
              <w:t xml:space="preserve">ограничение</w:t>
            </w:r>
            <w:r>
              <w:rPr>
                <w:bCs/>
                <w:sz w:val="20"/>
                <w:szCs w:val="20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bCs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(установлено/не установлено) </w:t>
            </w:r>
            <w:r>
              <w:rPr>
                <w:b/>
                <w:bCs/>
                <w:color w:val="1f497d"/>
                <w:sz w:val="20"/>
                <w:szCs w:val="20"/>
              </w:rPr>
            </w:r>
            <w:r>
              <w:rPr>
                <w:b/>
                <w:bCs/>
                <w:color w:val="1f497d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59"/>
        </w:trPr>
        <w:tc>
          <w:tcPr>
            <w:shd w:val="clear" w:color="auto" w:fill="ffffff"/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Merge w:val="continue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14.3 </w:t>
            </w:r>
            <w:r>
              <w:rPr>
                <w:b/>
                <w:bCs/>
                <w:sz w:val="20"/>
                <w:szCs w:val="20"/>
              </w:rPr>
              <w:t xml:space="preserve">преимущество</w:t>
            </w:r>
            <w:r>
              <w:rPr>
                <w:rStyle w:val="901"/>
                <w:b/>
                <w:bCs/>
                <w:sz w:val="20"/>
                <w:szCs w:val="20"/>
              </w:rPr>
              <w:footnoteReference w:id="4"/>
            </w:r>
            <w:r>
              <w:rPr>
                <w:bCs/>
                <w:sz w:val="20"/>
                <w:szCs w:val="20"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bCs/>
                <w:color w:val="1f497d"/>
                <w:sz w:val="20"/>
                <w:szCs w:val="20"/>
              </w:rPr>
              <w:t xml:space="preserve">(</w:t>
            </w:r>
            <w:r>
              <w:rPr>
                <w:b/>
                <w:color w:val="1f497d"/>
                <w:sz w:val="20"/>
                <w:szCs w:val="20"/>
              </w:rPr>
              <w:t xml:space="preserve">установлено/не установлено)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</w:tbl>
    <w:p>
      <w:pPr>
        <w:jc w:val="center"/>
        <w:rPr>
          <w:highlight w:val="none"/>
        </w:rPr>
      </w:pPr>
      <w:r>
        <w:rPr>
          <w:b/>
          <w:sz w:val="20"/>
          <w:szCs w:val="20"/>
        </w:rPr>
        <w:t xml:space="preserve">______________________________________</w:t>
      </w:r>
      <w:bookmarkStart w:id="0" w:name="_GoBack"/>
      <w:r/>
      <w:bookmarkEnd w:id="0"/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left"/>
        <w:rPr>
          <w:b/>
          <w:bCs/>
          <w:sz w:val="20"/>
          <w:szCs w:val="20"/>
        </w:rPr>
      </w:pPr>
      <w:r>
        <w:rPr>
          <w:highlight w:val="none"/>
        </w:rPr>
      </w:r>
      <w:r>
        <w:rPr>
          <w:highlight w:val="none"/>
        </w:rPr>
      </w:r>
      <w:r>
        <w:rPr>
          <w:b/>
          <w:bCs/>
          <w:sz w:val="20"/>
          <w:szCs w:val="20"/>
        </w:rPr>
      </w:r>
    </w:p>
    <w:sectPr>
      <w:footerReference w:type="default" r:id="rId9"/>
      <w:footnotePr>
        <w:pos w:val="beneathText"/>
      </w:footnotePr>
      <w:endnotePr/>
      <w:type w:val="nextPage"/>
      <w:pgSz w:w="11906" w:h="16838" w:orient="portrait"/>
      <w:pgMar w:top="850" w:right="850" w:bottom="709" w:left="1134" w:header="720" w:footer="31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Microsoft YaHei">
    <w:panose1 w:val="020B0503020203020204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8"/>
      <w:jc w:val="center"/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 xml:space="preserve">PAGE   \* MERGEFORMAT</w:instrText>
    </w:r>
    <w:r>
      <w:rPr>
        <w:b w:val="0"/>
        <w:bCs w:val="0"/>
        <w:color w:val="000000"/>
        <w:sz w:val="20"/>
        <w:szCs w:val="20"/>
      </w:rPr>
      <w:fldChar w:fldCharType="separate"/>
    </w:r>
    <w:r>
      <w:rPr>
        <w:b w:val="0"/>
        <w:bCs w:val="0"/>
        <w:color w:val="000000"/>
        <w:sz w:val="20"/>
        <w:szCs w:val="20"/>
      </w:rPr>
      <w:t xml:space="preserve">2</w:t>
    </w:r>
    <w:r>
      <w:rPr>
        <w:b w:val="0"/>
        <w:bCs w:val="0"/>
        <w:color w:val="000000"/>
        <w:sz w:val="20"/>
        <w:szCs w:val="20"/>
      </w:rPr>
      <w:fldChar w:fldCharType="end"/>
    </w:r>
    <w:r>
      <w:rPr>
        <w:b/>
        <w:color w:val="000000"/>
        <w:sz w:val="20"/>
        <w:szCs w:val="20"/>
      </w:rPr>
    </w:r>
    <w:r>
      <w:rPr>
        <w:b/>
        <w:color w:val="000000"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899"/>
        <w:jc w:val="both"/>
        <w:rPr>
          <w:vertAlign w:val="superscript"/>
        </w:rPr>
      </w:pPr>
      <w:r>
        <w:rPr>
          <w:rStyle w:val="901"/>
          <w:szCs w:val="18"/>
        </w:rPr>
        <w:footnoteRef/>
      </w:r>
      <w:r>
        <w:rPr>
          <w:rStyle w:val="901"/>
          <w:szCs w:val="18"/>
        </w:rPr>
        <w:t xml:space="preserve"> </w:t>
      </w:r>
      <w:r>
        <w:rPr>
          <w:rStyle w:val="901"/>
          <w:szCs w:val="18"/>
        </w:rPr>
        <w:t xml:space="preserve">Гриф указывается в случае осуществления закупки в соответствии с разделом 8.13 Типового положения  (с привлечением  специализированной (уполномоченной) организации)</w:t>
      </w:r>
      <w:r>
        <w:rPr>
          <w:szCs w:val="18"/>
          <w:vertAlign w:val="superscript"/>
        </w:rPr>
        <w:t xml:space="preserve">.</w:t>
      </w:r>
      <w:r>
        <w:rPr>
          <w:szCs w:val="18"/>
          <w:vertAlign w:val="superscript"/>
        </w:rPr>
        <w:t xml:space="preserve"> </w:t>
      </w:r>
      <w:r>
        <w:rPr>
          <w:vertAlign w:val="superscript"/>
        </w:rPr>
      </w:r>
      <w:r>
        <w:rPr>
          <w:vertAlign w:val="superscript"/>
        </w:rPr>
      </w:r>
    </w:p>
  </w:footnote>
  <w:footnote w:id="3">
    <w:p>
      <w:pPr>
        <w:pStyle w:val="899"/>
        <w:rPr>
          <w:rStyle w:val="901"/>
          <w:szCs w:val="18"/>
        </w:rPr>
      </w:pPr>
      <w:r>
        <w:rPr>
          <w:rStyle w:val="901"/>
          <w:szCs w:val="18"/>
        </w:rPr>
        <w:footnoteRef/>
      </w:r>
      <w:r>
        <w:rPr>
          <w:rStyle w:val="901"/>
          <w:szCs w:val="18"/>
        </w:rPr>
        <w:t xml:space="preserve"> Типовая форма извещения разработан</w:t>
      </w:r>
      <w:r>
        <w:rPr>
          <w:rStyle w:val="901"/>
        </w:rPr>
        <w:t xml:space="preserve">а</w:t>
      </w:r>
      <w:r>
        <w:rPr>
          <w:rStyle w:val="901"/>
          <w:szCs w:val="18"/>
        </w:rPr>
        <w:t xml:space="preserve"> для процедуры без применения дополнительных этапов, предусмотренных частью 4 статьи 3.4. Закона № 223-ФЗ</w:t>
      </w:r>
      <w:r>
        <w:rPr>
          <w:szCs w:val="18"/>
          <w:vertAlign w:val="superscript"/>
        </w:rPr>
        <w:t xml:space="preserve">.</w:t>
      </w:r>
      <w:r>
        <w:rPr>
          <w:rStyle w:val="901"/>
          <w:szCs w:val="18"/>
        </w:rPr>
      </w:r>
      <w:r>
        <w:rPr>
          <w:rStyle w:val="901"/>
          <w:szCs w:val="18"/>
        </w:rPr>
      </w:r>
    </w:p>
  </w:footnote>
  <w:footnote w:id="4">
    <w:p>
      <w:pPr>
        <w:ind w:left="0" w:right="0" w:firstLine="0"/>
        <w:jc w:val="both"/>
        <w:spacing w:before="0" w:after="0" w:line="240" w:lineRule="auto"/>
        <w:rPr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901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 соответствии с пунк</w:t>
      </w:r>
      <w:r>
        <w:rPr>
          <w:sz w:val="20"/>
          <w:szCs w:val="20"/>
        </w:rPr>
        <w:t xml:space="preserve">том </w:t>
      </w:r>
      <w:r>
        <w:rPr>
          <w:sz w:val="20"/>
          <w:szCs w:val="20"/>
        </w:rPr>
        <w:t xml:space="preserve">1 </w:t>
      </w:r>
      <w:r>
        <w:rPr>
          <w:sz w:val="20"/>
          <w:szCs w:val="20"/>
        </w:rPr>
        <w:t xml:space="preserve">постановления Правительства РФ от 23.12.2024 № 1875 установлено </w:t>
      </w:r>
      <w:r>
        <w:rPr>
          <w:b/>
          <w:bCs/>
          <w:sz w:val="20"/>
          <w:szCs w:val="20"/>
        </w:rPr>
        <w:t xml:space="preserve">преимущество</w:t>
      </w:r>
      <w:r>
        <w:rPr>
          <w:b/>
          <w:bCs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</w:rPr>
        <w:t xml:space="preserve">в отношении </w:t>
      </w:r>
      <w:r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</w:rPr>
        <w:t xml:space="preserve">товаров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российского происхождения (в том числе поставляемых при выполнении закупаемых работ, оказании закупаемых услуг).</w:t>
      </w:r>
      <w:r>
        <w:rPr>
          <w:sz w:val="20"/>
          <w:szCs w:val="20"/>
        </w:rPr>
      </w:r>
      <w:r>
        <w:rPr>
          <w:sz w:val="18"/>
          <w:szCs w:val="18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2">
    <w:name w:val="Heading 1 Char"/>
    <w:basedOn w:val="745"/>
    <w:link w:val="736"/>
    <w:uiPriority w:val="9"/>
    <w:rPr>
      <w:rFonts w:ascii="Arial" w:hAnsi="Arial" w:eastAsia="Arial" w:cs="Arial"/>
      <w:sz w:val="40"/>
      <w:szCs w:val="40"/>
    </w:rPr>
  </w:style>
  <w:style w:type="character" w:styleId="723">
    <w:name w:val="Heading 2 Char"/>
    <w:basedOn w:val="745"/>
    <w:link w:val="737"/>
    <w:uiPriority w:val="9"/>
    <w:rPr>
      <w:rFonts w:ascii="Arial" w:hAnsi="Arial" w:eastAsia="Arial" w:cs="Arial"/>
      <w:sz w:val="34"/>
    </w:rPr>
  </w:style>
  <w:style w:type="character" w:styleId="724">
    <w:name w:val="Heading 3 Char"/>
    <w:basedOn w:val="745"/>
    <w:link w:val="738"/>
    <w:uiPriority w:val="9"/>
    <w:rPr>
      <w:rFonts w:ascii="Arial" w:hAnsi="Arial" w:eastAsia="Arial" w:cs="Arial"/>
      <w:sz w:val="30"/>
      <w:szCs w:val="30"/>
    </w:rPr>
  </w:style>
  <w:style w:type="character" w:styleId="725">
    <w:name w:val="Heading 4 Char"/>
    <w:basedOn w:val="745"/>
    <w:link w:val="739"/>
    <w:uiPriority w:val="9"/>
    <w:rPr>
      <w:rFonts w:ascii="Arial" w:hAnsi="Arial" w:eastAsia="Arial" w:cs="Arial"/>
      <w:b/>
      <w:bCs/>
      <w:sz w:val="26"/>
      <w:szCs w:val="26"/>
    </w:rPr>
  </w:style>
  <w:style w:type="character" w:styleId="726">
    <w:name w:val="Heading 5 Char"/>
    <w:basedOn w:val="745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27">
    <w:name w:val="Heading 7 Char"/>
    <w:basedOn w:val="745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8 Char"/>
    <w:basedOn w:val="74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29">
    <w:name w:val="Heading 9 Char"/>
    <w:basedOn w:val="745"/>
    <w:link w:val="744"/>
    <w:uiPriority w:val="9"/>
    <w:rPr>
      <w:rFonts w:ascii="Arial" w:hAnsi="Arial" w:eastAsia="Arial" w:cs="Arial"/>
      <w:i/>
      <w:iCs/>
      <w:sz w:val="21"/>
      <w:szCs w:val="21"/>
    </w:rPr>
  </w:style>
  <w:style w:type="character" w:styleId="730">
    <w:name w:val="Title Char"/>
    <w:basedOn w:val="745"/>
    <w:link w:val="758"/>
    <w:uiPriority w:val="10"/>
    <w:rPr>
      <w:sz w:val="48"/>
      <w:szCs w:val="48"/>
    </w:rPr>
  </w:style>
  <w:style w:type="character" w:styleId="731">
    <w:name w:val="Subtitle Char"/>
    <w:basedOn w:val="745"/>
    <w:link w:val="760"/>
    <w:uiPriority w:val="11"/>
    <w:rPr>
      <w:sz w:val="24"/>
      <w:szCs w:val="24"/>
    </w:rPr>
  </w:style>
  <w:style w:type="character" w:styleId="732">
    <w:name w:val="Quote Char"/>
    <w:link w:val="762"/>
    <w:uiPriority w:val="29"/>
    <w:rPr>
      <w:i/>
    </w:rPr>
  </w:style>
  <w:style w:type="character" w:styleId="733">
    <w:name w:val="Intense Quote Char"/>
    <w:link w:val="764"/>
    <w:uiPriority w:val="30"/>
    <w:rPr>
      <w:i/>
    </w:rPr>
  </w:style>
  <w:style w:type="character" w:styleId="734">
    <w:name w:val="Endnote Text Char"/>
    <w:link w:val="902"/>
    <w:uiPriority w:val="99"/>
    <w:rPr>
      <w:sz w:val="20"/>
    </w:rPr>
  </w:style>
  <w:style w:type="paragraph" w:styleId="735" w:default="1">
    <w:name w:val="Normal"/>
    <w:uiPriority w:val="7"/>
    <w:qFormat/>
    <w:rPr>
      <w:sz w:val="24"/>
      <w:szCs w:val="24"/>
      <w:lang w:eastAsia="ru-RU"/>
    </w:rPr>
  </w:style>
  <w:style w:type="paragraph" w:styleId="736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7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8">
    <w:name w:val="Heading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41">
    <w:name w:val="Heading 6"/>
    <w:basedOn w:val="735"/>
    <w:next w:val="735"/>
    <w:link w:val="926"/>
    <w:qFormat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42">
    <w:name w:val="Heading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 w:default="1">
    <w:name w:val="Default Paragraph Font"/>
    <w:uiPriority w:val="1"/>
    <w:semiHidden/>
    <w:unhideWhenUsed/>
  </w:style>
  <w:style w:type="table" w:styleId="7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7" w:default="1">
    <w:name w:val="No List"/>
    <w:uiPriority w:val="99"/>
    <w:semiHidden/>
    <w:unhideWhenUsed/>
  </w:style>
  <w:style w:type="character" w:styleId="748" w:customStyle="1">
    <w:name w:val="Заголовок 1 Знак"/>
    <w:link w:val="736"/>
    <w:uiPriority w:val="9"/>
    <w:rPr>
      <w:rFonts w:ascii="Arial" w:hAnsi="Arial" w:eastAsia="Arial" w:cs="Arial"/>
      <w:sz w:val="40"/>
      <w:szCs w:val="40"/>
    </w:rPr>
  </w:style>
  <w:style w:type="character" w:styleId="749" w:customStyle="1">
    <w:name w:val="Заголовок 2 Знак"/>
    <w:link w:val="737"/>
    <w:uiPriority w:val="9"/>
    <w:rPr>
      <w:rFonts w:ascii="Arial" w:hAnsi="Arial" w:eastAsia="Arial" w:cs="Arial"/>
      <w:sz w:val="34"/>
    </w:rPr>
  </w:style>
  <w:style w:type="character" w:styleId="750" w:customStyle="1">
    <w:name w:val="Заголовок 3 Знак"/>
    <w:link w:val="738"/>
    <w:uiPriority w:val="9"/>
    <w:rPr>
      <w:rFonts w:ascii="Arial" w:hAnsi="Arial" w:eastAsia="Arial" w:cs="Arial"/>
      <w:sz w:val="30"/>
      <w:szCs w:val="30"/>
    </w:rPr>
  </w:style>
  <w:style w:type="character" w:styleId="751" w:customStyle="1">
    <w:name w:val="Заголовок 4 Знак"/>
    <w:link w:val="739"/>
    <w:uiPriority w:val="9"/>
    <w:rPr>
      <w:rFonts w:ascii="Arial" w:hAnsi="Arial" w:eastAsia="Arial" w:cs="Arial"/>
      <w:b/>
      <w:bCs/>
      <w:sz w:val="26"/>
      <w:szCs w:val="26"/>
    </w:rPr>
  </w:style>
  <w:style w:type="character" w:styleId="752" w:customStyle="1">
    <w:name w:val="Заголовок 5 Знак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54" w:customStyle="1">
    <w:name w:val="Заголовок 7 Знак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 w:customStyle="1">
    <w:name w:val="Заголовок 8 Знак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 w:customStyle="1">
    <w:name w:val="Заголовок 9 Знак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No Spacing"/>
    <w:uiPriority w:val="1"/>
    <w:qFormat/>
  </w:style>
  <w:style w:type="paragraph" w:styleId="758">
    <w:name w:val="Title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 w:customStyle="1">
    <w:name w:val="Название Знак"/>
    <w:link w:val="758"/>
    <w:uiPriority w:val="10"/>
    <w:rPr>
      <w:sz w:val="48"/>
      <w:szCs w:val="48"/>
    </w:rPr>
  </w:style>
  <w:style w:type="paragraph" w:styleId="760">
    <w:name w:val="Subtitle"/>
    <w:basedOn w:val="735"/>
    <w:next w:val="735"/>
    <w:link w:val="761"/>
    <w:uiPriority w:val="11"/>
    <w:qFormat/>
    <w:pPr>
      <w:spacing w:before="200" w:after="200"/>
    </w:pPr>
  </w:style>
  <w:style w:type="character" w:styleId="761" w:customStyle="1">
    <w:name w:val="Подзаголовок Знак"/>
    <w:link w:val="760"/>
    <w:uiPriority w:val="11"/>
    <w:rPr>
      <w:sz w:val="24"/>
      <w:szCs w:val="24"/>
    </w:rPr>
  </w:style>
  <w:style w:type="paragraph" w:styleId="762">
    <w:name w:val="Quote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 w:customStyle="1">
    <w:name w:val="Цитата 2 Знак"/>
    <w:link w:val="762"/>
    <w:uiPriority w:val="29"/>
    <w:rPr>
      <w:i/>
    </w:rPr>
  </w:style>
  <w:style w:type="paragraph" w:styleId="764">
    <w:name w:val="Intense Quote"/>
    <w:basedOn w:val="735"/>
    <w:next w:val="735"/>
    <w:link w:val="76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 w:customStyle="1">
    <w:name w:val="Выделенная цитата Знак"/>
    <w:link w:val="764"/>
    <w:uiPriority w:val="30"/>
    <w:rPr>
      <w:i/>
    </w:rPr>
  </w:style>
  <w:style w:type="paragraph" w:styleId="766">
    <w:name w:val="Header"/>
    <w:basedOn w:val="735"/>
    <w:link w:val="931"/>
    <w:pPr>
      <w:tabs>
        <w:tab w:val="center" w:pos="4677" w:leader="none"/>
        <w:tab w:val="right" w:pos="9355" w:leader="none"/>
      </w:tabs>
    </w:pPr>
  </w:style>
  <w:style w:type="character" w:styleId="767" w:customStyle="1">
    <w:name w:val="Header Char"/>
    <w:uiPriority w:val="99"/>
  </w:style>
  <w:style w:type="paragraph" w:styleId="768">
    <w:name w:val="Footer"/>
    <w:basedOn w:val="735"/>
    <w:link w:val="932"/>
    <w:uiPriority w:val="99"/>
    <w:pPr>
      <w:tabs>
        <w:tab w:val="center" w:pos="4677" w:leader="none"/>
        <w:tab w:val="right" w:pos="9355" w:leader="none"/>
      </w:tabs>
    </w:pPr>
  </w:style>
  <w:style w:type="character" w:styleId="769" w:customStyle="1">
    <w:name w:val="Footer Char"/>
    <w:uiPriority w:val="99"/>
  </w:style>
  <w:style w:type="paragraph" w:styleId="770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1" w:customStyle="1">
    <w:name w:val="Caption Char"/>
    <w:uiPriority w:val="99"/>
  </w:style>
  <w:style w:type="table" w:styleId="772">
    <w:name w:val="Table Grid"/>
    <w:basedOn w:val="746"/>
    <w:uiPriority w:val="5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7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8">
    <w:name w:val="Hyperlink"/>
    <w:uiPriority w:val="99"/>
    <w:rPr>
      <w:color w:val="0000ff"/>
      <w:u w:val="single"/>
    </w:rPr>
  </w:style>
  <w:style w:type="paragraph" w:styleId="899">
    <w:name w:val="footnote text"/>
    <w:basedOn w:val="735"/>
    <w:link w:val="930"/>
    <w:rPr>
      <w:sz w:val="20"/>
      <w:szCs w:val="20"/>
    </w:rPr>
  </w:style>
  <w:style w:type="character" w:styleId="900" w:customStyle="1">
    <w:name w:val="Footnote Text Char"/>
    <w:uiPriority w:val="99"/>
    <w:rPr>
      <w:sz w:val="18"/>
    </w:rPr>
  </w:style>
  <w:style w:type="character" w:styleId="901">
    <w:name w:val="footnote reference"/>
    <w:rPr>
      <w:vertAlign w:val="superscript"/>
    </w:rPr>
  </w:style>
  <w:style w:type="paragraph" w:styleId="902">
    <w:name w:val="endnote text"/>
    <w:basedOn w:val="735"/>
    <w:link w:val="903"/>
    <w:uiPriority w:val="99"/>
    <w:semiHidden/>
    <w:unhideWhenUsed/>
    <w:rPr>
      <w:sz w:val="20"/>
    </w:rPr>
  </w:style>
  <w:style w:type="character" w:styleId="903" w:customStyle="1">
    <w:name w:val="Текст концевой сноски Знак"/>
    <w:link w:val="902"/>
    <w:uiPriority w:val="99"/>
    <w:rPr>
      <w:sz w:val="20"/>
    </w:rPr>
  </w:style>
  <w:style w:type="character" w:styleId="904">
    <w:name w:val="endnote reference"/>
    <w:uiPriority w:val="99"/>
    <w:semiHidden/>
    <w:unhideWhenUsed/>
    <w:rPr>
      <w:vertAlign w:val="superscript"/>
    </w:rPr>
  </w:style>
  <w:style w:type="paragraph" w:styleId="905">
    <w:name w:val="toc 1"/>
    <w:basedOn w:val="735"/>
    <w:next w:val="735"/>
    <w:uiPriority w:val="39"/>
    <w:unhideWhenUsed/>
    <w:pPr>
      <w:spacing w:after="57"/>
    </w:pPr>
  </w:style>
  <w:style w:type="paragraph" w:styleId="906">
    <w:name w:val="toc 2"/>
    <w:basedOn w:val="735"/>
    <w:next w:val="735"/>
    <w:uiPriority w:val="39"/>
    <w:unhideWhenUsed/>
    <w:pPr>
      <w:ind w:left="283"/>
      <w:spacing w:after="57"/>
    </w:pPr>
  </w:style>
  <w:style w:type="paragraph" w:styleId="907">
    <w:name w:val="toc 3"/>
    <w:basedOn w:val="735"/>
    <w:next w:val="735"/>
    <w:uiPriority w:val="39"/>
    <w:unhideWhenUsed/>
    <w:pPr>
      <w:ind w:left="567"/>
      <w:spacing w:after="57"/>
    </w:pPr>
  </w:style>
  <w:style w:type="paragraph" w:styleId="908">
    <w:name w:val="toc 4"/>
    <w:basedOn w:val="735"/>
    <w:next w:val="735"/>
    <w:uiPriority w:val="39"/>
    <w:unhideWhenUsed/>
    <w:pPr>
      <w:ind w:left="850"/>
      <w:spacing w:after="57"/>
    </w:pPr>
  </w:style>
  <w:style w:type="paragraph" w:styleId="909">
    <w:name w:val="toc 5"/>
    <w:basedOn w:val="735"/>
    <w:next w:val="735"/>
    <w:uiPriority w:val="39"/>
    <w:unhideWhenUsed/>
    <w:pPr>
      <w:ind w:left="1134"/>
      <w:spacing w:after="57"/>
    </w:pPr>
  </w:style>
  <w:style w:type="paragraph" w:styleId="910">
    <w:name w:val="toc 6"/>
    <w:basedOn w:val="735"/>
    <w:next w:val="735"/>
    <w:uiPriority w:val="39"/>
    <w:unhideWhenUsed/>
    <w:pPr>
      <w:ind w:left="1417"/>
      <w:spacing w:after="57"/>
    </w:pPr>
  </w:style>
  <w:style w:type="paragraph" w:styleId="911">
    <w:name w:val="toc 7"/>
    <w:basedOn w:val="735"/>
    <w:next w:val="735"/>
    <w:uiPriority w:val="39"/>
    <w:unhideWhenUsed/>
    <w:pPr>
      <w:ind w:left="1701"/>
      <w:spacing w:after="57"/>
    </w:pPr>
  </w:style>
  <w:style w:type="paragraph" w:styleId="912">
    <w:name w:val="toc 8"/>
    <w:basedOn w:val="735"/>
    <w:next w:val="735"/>
    <w:uiPriority w:val="39"/>
    <w:unhideWhenUsed/>
    <w:pPr>
      <w:ind w:left="1984"/>
      <w:spacing w:after="57"/>
    </w:pPr>
  </w:style>
  <w:style w:type="paragraph" w:styleId="913">
    <w:name w:val="toc 9"/>
    <w:basedOn w:val="735"/>
    <w:next w:val="735"/>
    <w:uiPriority w:val="39"/>
    <w:unhideWhenUsed/>
    <w:pPr>
      <w:ind w:left="2268"/>
      <w:spacing w:after="57"/>
    </w:pPr>
  </w:style>
  <w:style w:type="paragraph" w:styleId="914">
    <w:name w:val="TOC Heading"/>
    <w:uiPriority w:val="39"/>
    <w:unhideWhenUsed/>
  </w:style>
  <w:style w:type="paragraph" w:styleId="915">
    <w:name w:val="table of figures"/>
    <w:basedOn w:val="735"/>
    <w:next w:val="735"/>
    <w:uiPriority w:val="99"/>
    <w:unhideWhenUsed/>
  </w:style>
  <w:style w:type="character" w:styleId="916" w:customStyle="1">
    <w:name w:val="Основной шрифт абзаца1"/>
    <w:uiPriority w:val="67"/>
  </w:style>
  <w:style w:type="paragraph" w:styleId="917">
    <w:name w:val="List"/>
    <w:basedOn w:val="918"/>
    <w:uiPriority w:val="67"/>
    <w:rPr>
      <w:rFonts w:cs="Arial"/>
    </w:rPr>
  </w:style>
  <w:style w:type="paragraph" w:styleId="918">
    <w:name w:val="Body Text"/>
    <w:basedOn w:val="735"/>
    <w:uiPriority w:val="67"/>
    <w:pPr>
      <w:spacing w:after="140" w:line="276" w:lineRule="auto"/>
    </w:pPr>
  </w:style>
  <w:style w:type="paragraph" w:styleId="919" w:customStyle="1">
    <w:name w:val="Заголовок1"/>
    <w:basedOn w:val="735"/>
    <w:next w:val="918"/>
    <w:uiPriority w:val="67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920" w:customStyle="1">
    <w:name w:val="Заголовок таблицы"/>
    <w:basedOn w:val="924"/>
    <w:uiPriority w:val="67"/>
    <w:pPr>
      <w:jc w:val="center"/>
    </w:pPr>
    <w:rPr>
      <w:b/>
      <w:bCs/>
    </w:rPr>
  </w:style>
  <w:style w:type="paragraph" w:styleId="921" w:customStyle="1">
    <w:name w:val="заголовок 11"/>
    <w:basedOn w:val="735"/>
    <w:next w:val="735"/>
    <w:uiPriority w:val="67"/>
    <w:pPr>
      <w:jc w:val="center"/>
      <w:keepNext/>
    </w:pPr>
  </w:style>
  <w:style w:type="paragraph" w:styleId="922">
    <w:name w:val="List Paragraph"/>
    <w:basedOn w:val="735"/>
    <w:uiPriority w:val="7"/>
    <w:pPr>
      <w:contextualSpacing/>
      <w:ind w:left="720"/>
      <w:spacing w:after="200" w:line="276" w:lineRule="auto"/>
    </w:pPr>
    <w:rPr>
      <w:sz w:val="22"/>
      <w:szCs w:val="22"/>
      <w:lang w:eastAsia="en-US"/>
    </w:rPr>
  </w:style>
  <w:style w:type="paragraph" w:styleId="923" w:customStyle="1">
    <w:name w:val="Указатель1"/>
    <w:basedOn w:val="735"/>
    <w:uiPriority w:val="67"/>
    <w:pPr>
      <w:suppressLineNumbers/>
    </w:pPr>
    <w:rPr>
      <w:rFonts w:cs="Arial"/>
    </w:rPr>
  </w:style>
  <w:style w:type="paragraph" w:styleId="924" w:customStyle="1">
    <w:name w:val="Содержимое таблицы"/>
    <w:basedOn w:val="735"/>
    <w:uiPriority w:val="67"/>
    <w:pPr>
      <w:suppressLineNumbers/>
    </w:pPr>
  </w:style>
  <w:style w:type="character" w:styleId="925" w:customStyle="1">
    <w:name w:val="Заголовок 6 Знак"/>
    <w:semiHidden/>
    <w:rPr>
      <w:rFonts w:ascii="Calibri" w:hAnsi="Calibri" w:eastAsia="Times New Roman" w:cs="Times New Roman"/>
      <w:b/>
      <w:bCs/>
      <w:sz w:val="22"/>
      <w:szCs w:val="22"/>
    </w:rPr>
  </w:style>
  <w:style w:type="character" w:styleId="926" w:customStyle="1">
    <w:name w:val="Заголовок 6 Знак1"/>
    <w:link w:val="741"/>
    <w:qFormat/>
    <w:rPr>
      <w:b/>
      <w:bCs/>
      <w:sz w:val="22"/>
      <w:szCs w:val="22"/>
      <w:lang w:val="en-US" w:eastAsia="en-US"/>
    </w:rPr>
  </w:style>
  <w:style w:type="character" w:styleId="927" w:customStyle="1">
    <w:name w:val="Неразрешенное упоминание"/>
    <w:uiPriority w:val="99"/>
    <w:semiHidden/>
    <w:unhideWhenUsed/>
    <w:rPr>
      <w:color w:val="605e5c"/>
      <w:shd w:val="clear" w:color="auto" w:fill="e1dfdd"/>
    </w:rPr>
  </w:style>
  <w:style w:type="paragraph" w:styleId="928" w:customStyle="1">
    <w:name w:val="Абзац списка;Цветной список - Акцент 11;Bullet List;FooterText;numbered;Paragraphe de liste1;lp1;Абзац списка4"/>
    <w:basedOn w:val="735"/>
    <w:link w:val="929"/>
    <w:uiPriority w:val="34"/>
    <w:qFormat/>
    <w:pPr>
      <w:contextualSpacing/>
      <w:ind w:left="720"/>
      <w:spacing w:after="200" w:line="276" w:lineRule="auto"/>
    </w:pPr>
    <w:rPr>
      <w:sz w:val="20"/>
      <w:szCs w:val="20"/>
    </w:rPr>
  </w:style>
  <w:style w:type="character" w:styleId="929" w:customStyle="1">
    <w:name w:val="Абзац списка Знак;Цветной список - Акцент 11 Знак;Bullet List Знак;FooterText Знак;numbered Знак;List Paragraph Знак;Paragraphe de liste1 Знак;lp1 Знак;Абзац списка4 Знак"/>
    <w:link w:val="928"/>
    <w:uiPriority w:val="34"/>
    <w:qFormat/>
  </w:style>
  <w:style w:type="character" w:styleId="930" w:customStyle="1">
    <w:name w:val="Текст сноски Знак"/>
    <w:basedOn w:val="745"/>
    <w:link w:val="899"/>
  </w:style>
  <w:style w:type="character" w:styleId="931" w:customStyle="1">
    <w:name w:val="Верхний колонтитул Знак"/>
    <w:link w:val="766"/>
    <w:rPr>
      <w:sz w:val="24"/>
      <w:szCs w:val="24"/>
    </w:rPr>
  </w:style>
  <w:style w:type="character" w:styleId="932" w:customStyle="1">
    <w:name w:val="Нижний колонтитул Знак"/>
    <w:link w:val="768"/>
    <w:uiPriority w:val="99"/>
    <w:rPr>
      <w:sz w:val="24"/>
      <w:szCs w:val="24"/>
    </w:rPr>
  </w:style>
  <w:style w:type="paragraph" w:styleId="933">
    <w:name w:val="Balloon Text"/>
    <w:basedOn w:val="735"/>
    <w:link w:val="934"/>
    <w:rPr>
      <w:rFonts w:ascii="Tahoma" w:hAnsi="Tahoma" w:cs="Tahoma"/>
      <w:sz w:val="16"/>
      <w:szCs w:val="16"/>
    </w:rPr>
  </w:style>
  <w:style w:type="character" w:styleId="934" w:customStyle="1">
    <w:name w:val="Текст выноски Знак"/>
    <w:link w:val="933"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mailto:gaumo.rcoz@mail.ru" TargetMode="External"/><Relationship Id="rId11" Type="http://schemas.openxmlformats.org/officeDocument/2006/relationships/hyperlink" Target="http://www.zakupki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RCOZ-U2</dc:creator>
  <cp:revision>37</cp:revision>
  <dcterms:created xsi:type="dcterms:W3CDTF">2022-12-19T11:22:00Z</dcterms:created>
  <dcterms:modified xsi:type="dcterms:W3CDTF">2025-08-13T11:50:51Z</dcterms:modified>
  <cp:version>917504</cp:version>
</cp:coreProperties>
</file>